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p>
    <w:p>
      <w:pPr>
        <w:spacing w:after="40"/>
        <w:jc w:val="center"/>
      </w:pPr>
      <w:r>
        <w:rPr>
          <w:rFonts w:ascii="Calibri" w:cs="Calibri" w:eastAsia="Calibri" w:hAnsi="Calibri"/>
          <w:b/>
          <w:bCs/>
          <w:caps/>
          <w:color w:val="2E5C8A"/>
          <w:sz w:val="28"/>
          <w:szCs w:val="28"/>
        </w:rPr>
        <w:t xml:space="preserve">BUSINESS RESILIENCE PULSE CHECK</w:t>
      </w:r>
    </w:p>
    <w:p>
      <w:pPr>
        <w:spacing w:after="40"/>
        <w:jc w:val="center"/>
      </w:pPr>
      <w:r>
        <w:rPr>
          <w:rFonts w:ascii="Calibri" w:cs="Calibri" w:eastAsia="Calibri" w:hAnsi="Calibri"/>
          <w:b/>
          <w:bCs/>
          <w:color w:val="D4A843"/>
          <w:sz w:val="22"/>
          <w:szCs w:val="22"/>
        </w:rPr>
        <w:t xml:space="preserve">PC-703</w:t>
      </w:r>
    </w:p>
    <w:p>
      <w:pPr>
        <w:spacing w:after="80"/>
      </w:pPr>
    </w:p>
    <w:p>
      <w:pPr>
        <w:pBdr>
          <w:bottom w:val="single" w:color="E0E0E0" w:sz="6" w:space="1"/>
        </w:pBdr>
        <w:spacing w:after="120"/>
      </w:pPr>
    </w:p>
    <w:p>
      <w:pPr>
        <w:spacing w:after="200"/>
      </w:pPr>
    </w:p>
    <w:p>
      <w:pPr>
        <w:spacing w:after="80"/>
        <w:jc w:val="center"/>
      </w:pPr>
      <w:r>
        <w:rPr>
          <w:rFonts w:ascii="Calibri" w:cs="Calibri" w:eastAsia="Calibri" w:hAnsi="Calibri"/>
          <w:b/>
          <w:bCs/>
          <w:color w:val="1B3A5C"/>
          <w:sz w:val="52"/>
          <w:szCs w:val="52"/>
        </w:rPr>
        <w:t xml:space="preserve">Facilitator Training Plan</w:t>
      </w:r>
    </w:p>
    <w:p>
      <w:pPr>
        <w:spacing w:after="200"/>
        <w:jc w:val="center"/>
      </w:pPr>
      <w:r>
        <w:rPr>
          <w:rFonts w:ascii="Calibri" w:cs="Calibri" w:eastAsia="Calibri" w:hAnsi="Calibri"/>
          <w:i/>
          <w:iCs/>
          <w:color w:val="2E5C8A"/>
          <w:sz w:val="24"/>
          <w:szCs w:val="24"/>
        </w:rPr>
        <w:t xml:space="preserve">Skills-based training path for first-time facilitators</w:t>
      </w:r>
    </w:p>
    <w:p>
      <w:pPr>
        <w:spacing w:after="200"/>
      </w:pPr>
    </w:p>
    <w:p>
      <w:pPr>
        <w:pBdr>
          <w:bottom w:val="single" w:color="E0E0E0" w:sz="6" w:space="1"/>
        </w:pBdr>
        <w:spacing w:after="120"/>
      </w:pPr>
    </w:p>
    <w:p>
      <w:pPr>
        <w:spacing w:after="40"/>
        <w:jc w:val="center"/>
      </w:pPr>
      <w:r>
        <w:rPr>
          <w:rFonts w:ascii="Calibri" w:cs="Calibri" w:eastAsia="Calibri" w:hAnsi="Calibri"/>
          <w:color w:val="666666"/>
          <w:sz w:val="20"/>
          <w:szCs w:val="20"/>
        </w:rPr>
        <w:t xml:space="preserve">Internal Operations  |  Version 1.1  |  July 2026</w:t>
      </w:r>
    </w:p>
    <w:p>
      <w:pPr>
        <w:spacing w:after="400"/>
      </w:pPr>
    </w:p>
    <w:p>
      <w:r>
        <w:br w:type="page"/>
      </w:r>
    </w:p>
    <w:p>
      <w:pPr>
        <w:pStyle w:val="Heading1"/>
        <w:spacing w:after="200" w:before="360"/>
      </w:pPr>
      <w:r>
        <w:rPr>
          <w:rFonts w:ascii="Calibri" w:cs="Calibri" w:eastAsia="Calibri" w:hAnsi="Calibri"/>
          <w:b/>
          <w:bCs/>
          <w:color w:val="1B3A5C"/>
          <w:sz w:val="32"/>
          <w:szCs w:val="32"/>
        </w:rPr>
        <w:t xml:space="preserve">Section 1: Purpose and Philosophy</w:t>
      </w:r>
    </w:p>
    <w:p>
      <w:pPr>
        <w:spacing w:after="120"/>
      </w:pPr>
      <w:r>
        <w:rPr>
          <w:rFonts w:ascii="Calibri" w:cs="Calibri" w:eastAsia="Calibri" w:hAnsi="Calibri"/>
          <w:b w:val="false"/>
          <w:bCs w:val="false"/>
          <w:i w:val="false"/>
          <w:iCs w:val="false"/>
          <w:color w:val="2D2D2D"/>
          <w:sz w:val="22"/>
          <w:szCs w:val="22"/>
        </w:rPr>
        <w:t xml:space="preserve">This training plan builds facilitation competence through practice, not certification prerequisites.</w:t>
      </w:r>
    </w:p>
    <w:p>
      <w:pPr>
        <w:spacing w:after="120"/>
      </w:pPr>
      <w:r>
        <w:rPr>
          <w:rFonts w:ascii="Calibri" w:cs="Calibri" w:eastAsia="Calibri" w:hAnsi="Calibri"/>
          <w:b w:val="false"/>
          <w:bCs w:val="false"/>
          <w:i w:val="false"/>
          <w:iCs w:val="false"/>
          <w:color w:val="2D2D2D"/>
          <w:sz w:val="22"/>
          <w:szCs w:val="22"/>
        </w:rPr>
        <w:t xml:space="preserve">The goal: a facilitator who can run a credible Pulse Check, write a calibrated AAR, and maintain quality standards ,  developed through structured self-study and hands-on practice.</w:t>
      </w:r>
    </w:p>
    <w:p>
      <w:pPr>
        <w:spacing w:after="120"/>
      </w:pPr>
      <w:r>
        <w:rPr>
          <w:rFonts w:ascii="Calibri" w:cs="Calibri" w:eastAsia="Calibri" w:hAnsi="Calibri"/>
          <w:b w:val="false"/>
          <w:bCs w:val="false"/>
          <w:i w:val="false"/>
          <w:iCs w:val="false"/>
          <w:color w:val="2D2D2D"/>
          <w:sz w:val="22"/>
          <w:szCs w:val="22"/>
        </w:rPr>
        <w:t xml:space="preserve">No certifications are required before your first delivery. FEMA IS-120.c and IS-130 are excellent free resources for deeper HSEEP methodology knowledge as your practice matures.</w:t>
      </w:r>
    </w:p>
    <w:p>
      <w:pPr>
        <w:spacing w:after="120"/>
      </w:pPr>
    </w:p>
    <w:p>
      <w:pPr>
        <w:pStyle w:val="Heading1"/>
        <w:spacing w:after="200" w:before="360"/>
      </w:pPr>
      <w:r>
        <w:rPr>
          <w:rFonts w:ascii="Calibri" w:cs="Calibri" w:eastAsia="Calibri" w:hAnsi="Calibri"/>
          <w:b/>
          <w:bCs/>
          <w:color w:val="1B3A5C"/>
          <w:sz w:val="32"/>
          <w:szCs w:val="32"/>
        </w:rPr>
        <w:t xml:space="preserve">Section 2: The Five Core Skills</w:t>
      </w:r>
    </w:p>
    <w:p>
      <w:pPr>
        <w:spacing w:after="120"/>
      </w:pPr>
      <w:r>
        <w:rPr>
          <w:rFonts w:ascii="Calibri" w:cs="Calibri" w:eastAsia="Calibri" w:hAnsi="Calibri"/>
          <w:b w:val="false"/>
          <w:bCs w:val="false"/>
          <w:i w:val="false"/>
          <w:iCs w:val="false"/>
          <w:color w:val="2D2D2D"/>
          <w:sz w:val="22"/>
          <w:szCs w:val="22"/>
        </w:rPr>
        <w:t xml:space="preserve">The Pulse Check program develops five distinct facilitation skills. Each is assessed through practical demonstration, not written examinations.</w:t>
      </w:r>
    </w:p>
    <w:p>
      <w:pPr>
        <w:spacing w:after="8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00"/>
        <w:gridCol w:w="1800"/>
        <w:gridCol w:w="4260"/>
        <w:gridCol w:w="2800"/>
      </w:tblGrid>
      <w:tr>
        <w:trPr>
          <w:tblHeader/>
        </w:trPr>
        <w:tc>
          <w:tcPr>
            <w:tcW w:type="dxa" w:w="500"/>
            <w:shd w:fill="1B3A5C" w:color="auto" w:val="clear"/>
            <w:tcMar>
              <w:top w:type="dxa" w:w="80"/>
              <w:left w:type="dxa" w:w="120"/>
              <w:bottom w:type="dxa" w:w="80"/>
              <w:right w:type="dxa" w:w="120"/>
            </w:tcMar>
          </w:tcPr>
          <w:p>
            <w:r>
              <w:rPr>
                <w:rFonts w:ascii="Calibri" w:cs="Calibri" w:eastAsia="Calibri" w:hAnsi="Calibri"/>
                <w:b/>
                <w:bCs/>
                <w:color w:val="FFFFFF"/>
                <w:sz w:val="20"/>
                <w:szCs w:val="20"/>
              </w:rPr>
              <w:t xml:space="preserve">#</w:t>
            </w:r>
          </w:p>
        </w:tc>
        <w:tc>
          <w:tcPr>
            <w:tcW w:type="dxa" w:w="1800"/>
            <w:shd w:fill="1B3A5C" w:color="auto" w:val="clear"/>
            <w:tcMar>
              <w:top w:type="dxa" w:w="80"/>
              <w:left w:type="dxa" w:w="120"/>
              <w:bottom w:type="dxa" w:w="80"/>
              <w:right w:type="dxa" w:w="120"/>
            </w:tcMar>
          </w:tcPr>
          <w:p>
            <w:r>
              <w:rPr>
                <w:rFonts w:ascii="Calibri" w:cs="Calibri" w:eastAsia="Calibri" w:hAnsi="Calibri"/>
                <w:b/>
                <w:bCs/>
                <w:color w:val="FFFFFF"/>
                <w:sz w:val="20"/>
                <w:szCs w:val="20"/>
              </w:rPr>
              <w:t xml:space="preserve">Skill</w:t>
            </w:r>
          </w:p>
        </w:tc>
        <w:tc>
          <w:tcPr>
            <w:tcW w:type="dxa" w:w="4260"/>
            <w:shd w:fill="1B3A5C" w:color="auto" w:val="clear"/>
            <w:tcMar>
              <w:top w:type="dxa" w:w="80"/>
              <w:left w:type="dxa" w:w="120"/>
              <w:bottom w:type="dxa" w:w="80"/>
              <w:right w:type="dxa" w:w="120"/>
            </w:tcMar>
          </w:tcPr>
          <w:p>
            <w:r>
              <w:rPr>
                <w:rFonts w:ascii="Calibri" w:cs="Calibri" w:eastAsia="Calibri" w:hAnsi="Calibri"/>
                <w:b/>
                <w:bCs/>
                <w:color w:val="FFFFFF"/>
                <w:sz w:val="20"/>
                <w:szCs w:val="20"/>
              </w:rPr>
              <w:t xml:space="preserve">Description</w:t>
            </w:r>
          </w:p>
        </w:tc>
        <w:tc>
          <w:tcPr>
            <w:tcW w:type="dxa" w:w="2800"/>
            <w:shd w:fill="1B3A5C" w:color="auto" w:val="clear"/>
            <w:tcMar>
              <w:top w:type="dxa" w:w="80"/>
              <w:left w:type="dxa" w:w="120"/>
              <w:bottom w:type="dxa" w:w="80"/>
              <w:right w:type="dxa" w:w="120"/>
            </w:tcMar>
          </w:tcPr>
          <w:p>
            <w:r>
              <w:rPr>
                <w:rFonts w:ascii="Calibri" w:cs="Calibri" w:eastAsia="Calibri" w:hAnsi="Calibri"/>
                <w:b/>
                <w:bCs/>
                <w:color w:val="FFFFFF"/>
                <w:sz w:val="20"/>
                <w:szCs w:val="20"/>
              </w:rPr>
              <w:t xml:space="preserve">Assessed Through</w:t>
            </w:r>
          </w:p>
        </w:tc>
      </w:tr>
      <w:tr>
        <w:tc>
          <w:tcPr>
            <w:tcW w:type="dxa" w:w="500"/>
            <w:shd w:fill="FFFFFF" w:color="auto" w:val="clear"/>
            <w:tcMar>
              <w:top w:type="dxa" w:w="80"/>
              <w:left w:type="dxa" w:w="120"/>
              <w:bottom w:type="dxa" w:w="80"/>
              <w:right w:type="dxa" w:w="120"/>
            </w:tcMar>
            <w:vAlign w:val="center"/>
          </w:tcPr>
          <w:p>
            <w:pPr>
              <w:jc w:val="center"/>
            </w:pPr>
            <w:r>
              <w:rPr>
                <w:rFonts w:ascii="Calibri" w:cs="Calibri" w:eastAsia="Calibri" w:hAnsi="Calibri"/>
                <w:b/>
                <w:bCs/>
                <w:color w:val="2E5C8A"/>
                <w:sz w:val="20"/>
                <w:szCs w:val="20"/>
              </w:rPr>
              <w:t xml:space="preserve">1</w:t>
            </w:r>
          </w:p>
        </w:tc>
        <w:tc>
          <w:tcPr>
            <w:tcW w:type="dxa" w:w="1800"/>
            <w:shd w:fill="FFFFFF" w:color="auto" w:val="clear"/>
            <w:tcMar>
              <w:top w:type="dxa" w:w="80"/>
              <w:left w:type="dxa" w:w="120"/>
              <w:bottom w:type="dxa" w:w="80"/>
              <w:right w:type="dxa" w:w="120"/>
            </w:tcMar>
          </w:tcPr>
          <w:p>
            <w:r>
              <w:rPr>
                <w:rFonts w:ascii="Calibri" w:cs="Calibri" w:eastAsia="Calibri" w:hAnsi="Calibri"/>
                <w:color w:val="2D2D2D"/>
                <w:sz w:val="20"/>
                <w:szCs w:val="20"/>
              </w:rPr>
              <w:t xml:space="preserve">Room Management</w:t>
            </w:r>
          </w:p>
        </w:tc>
        <w:tc>
          <w:tcPr>
            <w:tcW w:type="dxa" w:w="4260"/>
            <w:shd w:fill="FFFFFF" w:color="auto" w:val="clear"/>
            <w:tcMar>
              <w:top w:type="dxa" w:w="80"/>
              <w:left w:type="dxa" w:w="120"/>
              <w:bottom w:type="dxa" w:w="80"/>
              <w:right w:type="dxa" w:w="120"/>
            </w:tcMar>
          </w:tcPr>
          <w:p>
            <w:r>
              <w:rPr>
                <w:rFonts w:ascii="Calibri" w:cs="Calibri" w:eastAsia="Calibri" w:hAnsi="Calibri"/>
                <w:color w:val="2D2D2D"/>
                <w:sz w:val="20"/>
                <w:szCs w:val="20"/>
              </w:rPr>
              <w:t xml:space="preserve">Keeping discussion on track, drawing out quiet participants, managing dominant voices, handling tangents productively.</w:t>
            </w:r>
          </w:p>
        </w:tc>
        <w:tc>
          <w:tcPr>
            <w:tcW w:type="dxa" w:w="2800"/>
            <w:shd w:fill="FFFFFF" w:color="auto" w:val="clear"/>
            <w:tcMar>
              <w:top w:type="dxa" w:w="80"/>
              <w:left w:type="dxa" w:w="120"/>
              <w:bottom w:type="dxa" w:w="80"/>
              <w:right w:type="dxa" w:w="120"/>
            </w:tcMar>
          </w:tcPr>
          <w:p>
            <w:r>
              <w:rPr>
                <w:rFonts w:ascii="Calibri" w:cs="Calibri" w:eastAsia="Calibri" w:hAnsi="Calibri"/>
                <w:color w:val="2D2D2D"/>
                <w:sz w:val="20"/>
                <w:szCs w:val="20"/>
              </w:rPr>
              <w:t xml:space="preserve">Dry run observer feedback</w:t>
            </w:r>
          </w:p>
        </w:tc>
      </w:tr>
      <w:tr>
        <w:tc>
          <w:tcPr>
            <w:tcW w:type="dxa" w:w="500"/>
            <w:shd w:fill="F5F5F5" w:color="auto" w:val="clear"/>
            <w:tcMar>
              <w:top w:type="dxa" w:w="80"/>
              <w:left w:type="dxa" w:w="120"/>
              <w:bottom w:type="dxa" w:w="80"/>
              <w:right w:type="dxa" w:w="120"/>
            </w:tcMar>
            <w:vAlign w:val="center"/>
          </w:tcPr>
          <w:p>
            <w:pPr>
              <w:jc w:val="center"/>
            </w:pPr>
            <w:r>
              <w:rPr>
                <w:rFonts w:ascii="Calibri" w:cs="Calibri" w:eastAsia="Calibri" w:hAnsi="Calibri"/>
                <w:b/>
                <w:bCs/>
                <w:color w:val="2E5C8A"/>
                <w:sz w:val="20"/>
                <w:szCs w:val="20"/>
              </w:rPr>
              <w:t xml:space="preserve">2</w:t>
            </w:r>
          </w:p>
        </w:tc>
        <w:tc>
          <w:tcPr>
            <w:tcW w:type="dxa" w:w="1800"/>
            <w:shd w:fill="F5F5F5" w:color="auto" w:val="clear"/>
            <w:tcMar>
              <w:top w:type="dxa" w:w="80"/>
              <w:left w:type="dxa" w:w="120"/>
              <w:bottom w:type="dxa" w:w="80"/>
              <w:right w:type="dxa" w:w="120"/>
            </w:tcMar>
          </w:tcPr>
          <w:p>
            <w:r>
              <w:rPr>
                <w:rFonts w:ascii="Calibri" w:cs="Calibri" w:eastAsia="Calibri" w:hAnsi="Calibri"/>
                <w:color w:val="2D2D2D"/>
                <w:sz w:val="20"/>
                <w:szCs w:val="20"/>
              </w:rPr>
              <w:t xml:space="preserve">Scenario Delivery</w:t>
            </w:r>
          </w:p>
        </w:tc>
        <w:tc>
          <w:tcPr>
            <w:tcW w:type="dxa" w:w="4260"/>
            <w:shd w:fill="F5F5F5" w:color="auto" w:val="clear"/>
            <w:tcMar>
              <w:top w:type="dxa" w:w="80"/>
              <w:left w:type="dxa" w:w="120"/>
              <w:bottom w:type="dxa" w:w="80"/>
              <w:right w:type="dxa" w:w="120"/>
            </w:tcMar>
          </w:tcPr>
          <w:p>
            <w:r>
              <w:rPr>
                <w:rFonts w:ascii="Calibri" w:cs="Calibri" w:eastAsia="Calibri" w:hAnsi="Calibri"/>
                <w:color w:val="2D2D2D"/>
                <w:sz w:val="20"/>
                <w:szCs w:val="20"/>
              </w:rPr>
              <w:t xml:space="preserve">Pacing module transitions, reading inject timing, adapting probe questions to the room's energy.</w:t>
            </w:r>
          </w:p>
        </w:tc>
        <w:tc>
          <w:tcPr>
            <w:tcW w:type="dxa" w:w="2800"/>
            <w:shd w:fill="F5F5F5" w:color="auto" w:val="clear"/>
            <w:tcMar>
              <w:top w:type="dxa" w:w="80"/>
              <w:left w:type="dxa" w:w="120"/>
              <w:bottom w:type="dxa" w:w="80"/>
              <w:right w:type="dxa" w:w="120"/>
            </w:tcMar>
          </w:tcPr>
          <w:p>
            <w:r>
              <w:rPr>
                <w:rFonts w:ascii="Calibri" w:cs="Calibri" w:eastAsia="Calibri" w:hAnsi="Calibri"/>
                <w:color w:val="2D2D2D"/>
                <w:sz w:val="20"/>
                <w:szCs w:val="20"/>
              </w:rPr>
              <w:t xml:space="preserve">Dry run and first engagement</w:t>
            </w:r>
          </w:p>
        </w:tc>
      </w:tr>
      <w:tr>
        <w:tc>
          <w:tcPr>
            <w:tcW w:type="dxa" w:w="500"/>
            <w:shd w:fill="FFFFFF" w:color="auto" w:val="clear"/>
            <w:tcMar>
              <w:top w:type="dxa" w:w="80"/>
              <w:left w:type="dxa" w:w="120"/>
              <w:bottom w:type="dxa" w:w="80"/>
              <w:right w:type="dxa" w:w="120"/>
            </w:tcMar>
            <w:vAlign w:val="center"/>
          </w:tcPr>
          <w:p>
            <w:pPr>
              <w:jc w:val="center"/>
            </w:pPr>
            <w:r>
              <w:rPr>
                <w:rFonts w:ascii="Calibri" w:cs="Calibri" w:eastAsia="Calibri" w:hAnsi="Calibri"/>
                <w:b/>
                <w:bCs/>
                <w:color w:val="2E5C8A"/>
                <w:sz w:val="20"/>
                <w:szCs w:val="20"/>
              </w:rPr>
              <w:t xml:space="preserve">3</w:t>
            </w:r>
          </w:p>
        </w:tc>
        <w:tc>
          <w:tcPr>
            <w:tcW w:type="dxa" w:w="1800"/>
            <w:shd w:fill="FFFFFF" w:color="auto" w:val="clear"/>
            <w:tcMar>
              <w:top w:type="dxa" w:w="80"/>
              <w:left w:type="dxa" w:w="120"/>
              <w:bottom w:type="dxa" w:w="80"/>
              <w:right w:type="dxa" w:w="120"/>
            </w:tcMar>
          </w:tcPr>
          <w:p>
            <w:r>
              <w:rPr>
                <w:rFonts w:ascii="Calibri" w:cs="Calibri" w:eastAsia="Calibri" w:hAnsi="Calibri"/>
                <w:color w:val="2D2D2D"/>
                <w:sz w:val="20"/>
                <w:szCs w:val="20"/>
              </w:rPr>
              <w:t xml:space="preserve">Observation-to-Finding Translation</w:t>
            </w:r>
          </w:p>
        </w:tc>
        <w:tc>
          <w:tcPr>
            <w:tcW w:type="dxa" w:w="4260"/>
            <w:shd w:fill="FFFFFF" w:color="auto" w:val="clear"/>
            <w:tcMar>
              <w:top w:type="dxa" w:w="80"/>
              <w:left w:type="dxa" w:w="120"/>
              <w:bottom w:type="dxa" w:w="80"/>
              <w:right w:type="dxa" w:w="120"/>
            </w:tcMar>
          </w:tcPr>
          <w:p>
            <w:r>
              <w:rPr>
                <w:rFonts w:ascii="Calibri" w:cs="Calibri" w:eastAsia="Calibri" w:hAnsi="Calibri"/>
                <w:color w:val="2D2D2D"/>
                <w:sz w:val="20"/>
                <w:szCs w:val="20"/>
              </w:rPr>
              <w:t xml:space="preserve">Converting what happened in the exercise into calibrated, four-part findings.</w:t>
            </w:r>
          </w:p>
        </w:tc>
        <w:tc>
          <w:tcPr>
            <w:tcW w:type="dxa" w:w="2800"/>
            <w:shd w:fill="FFFFFF" w:color="auto" w:val="clear"/>
            <w:tcMar>
              <w:top w:type="dxa" w:w="80"/>
              <w:left w:type="dxa" w:w="120"/>
              <w:bottom w:type="dxa" w:w="80"/>
              <w:right w:type="dxa" w:w="120"/>
            </w:tcMar>
          </w:tcPr>
          <w:p>
            <w:r>
              <w:rPr>
                <w:rFonts w:ascii="Calibri" w:cs="Calibri" w:eastAsia="Calibri" w:hAnsi="Calibri"/>
                <w:color w:val="2D2D2D"/>
                <w:sz w:val="20"/>
                <w:szCs w:val="20"/>
              </w:rPr>
              <w:t xml:space="preserve">Practice AAR quality</w:t>
            </w:r>
          </w:p>
        </w:tc>
      </w:tr>
      <w:tr>
        <w:tc>
          <w:tcPr>
            <w:tcW w:type="dxa" w:w="500"/>
            <w:shd w:fill="F5F5F5" w:color="auto" w:val="clear"/>
            <w:tcMar>
              <w:top w:type="dxa" w:w="80"/>
              <w:left w:type="dxa" w:w="120"/>
              <w:bottom w:type="dxa" w:w="80"/>
              <w:right w:type="dxa" w:w="120"/>
            </w:tcMar>
            <w:vAlign w:val="center"/>
          </w:tcPr>
          <w:p>
            <w:pPr>
              <w:jc w:val="center"/>
            </w:pPr>
            <w:r>
              <w:rPr>
                <w:rFonts w:ascii="Calibri" w:cs="Calibri" w:eastAsia="Calibri" w:hAnsi="Calibri"/>
                <w:b/>
                <w:bCs/>
                <w:color w:val="2E5C8A"/>
                <w:sz w:val="20"/>
                <w:szCs w:val="20"/>
              </w:rPr>
              <w:t xml:space="preserve">4</w:t>
            </w:r>
          </w:p>
        </w:tc>
        <w:tc>
          <w:tcPr>
            <w:tcW w:type="dxa" w:w="1800"/>
            <w:shd w:fill="F5F5F5" w:color="auto" w:val="clear"/>
            <w:tcMar>
              <w:top w:type="dxa" w:w="80"/>
              <w:left w:type="dxa" w:w="120"/>
              <w:bottom w:type="dxa" w:w="80"/>
              <w:right w:type="dxa" w:w="120"/>
            </w:tcMar>
          </w:tcPr>
          <w:p>
            <w:r>
              <w:rPr>
                <w:rFonts w:ascii="Calibri" w:cs="Calibri" w:eastAsia="Calibri" w:hAnsi="Calibri"/>
                <w:color w:val="2D2D2D"/>
                <w:sz w:val="20"/>
                <w:szCs w:val="20"/>
              </w:rPr>
              <w:t xml:space="preserve">Professional Writing</w:t>
            </w:r>
          </w:p>
        </w:tc>
        <w:tc>
          <w:tcPr>
            <w:tcW w:type="dxa" w:w="4260"/>
            <w:shd w:fill="F5F5F5" w:color="auto" w:val="clear"/>
            <w:tcMar>
              <w:top w:type="dxa" w:w="80"/>
              <w:left w:type="dxa" w:w="120"/>
              <w:bottom w:type="dxa" w:w="80"/>
              <w:right w:type="dxa" w:w="120"/>
            </w:tcMar>
          </w:tcPr>
          <w:p>
            <w:r>
              <w:rPr>
                <w:rFonts w:ascii="Calibri" w:cs="Calibri" w:eastAsia="Calibri" w:hAnsi="Calibri"/>
                <w:color w:val="2D2D2D"/>
                <w:sz w:val="20"/>
                <w:szCs w:val="20"/>
              </w:rPr>
              <w:t xml:space="preserve">Producing AARs and executive summaries that meet writing standards (organizational not individual, factual, business-impact framing, actionable).</w:t>
            </w:r>
          </w:p>
        </w:tc>
        <w:tc>
          <w:tcPr>
            <w:tcW w:type="dxa" w:w="2800"/>
            <w:shd w:fill="F5F5F5" w:color="auto" w:val="clear"/>
            <w:tcMar>
              <w:top w:type="dxa" w:w="80"/>
              <w:left w:type="dxa" w:w="120"/>
              <w:bottom w:type="dxa" w:w="80"/>
              <w:right w:type="dxa" w:w="120"/>
            </w:tcMar>
          </w:tcPr>
          <w:p>
            <w:r>
              <w:rPr>
                <w:rFonts w:ascii="Calibri" w:cs="Calibri" w:eastAsia="Calibri" w:hAnsi="Calibri"/>
                <w:color w:val="2D2D2D"/>
                <w:sz w:val="20"/>
                <w:szCs w:val="20"/>
              </w:rPr>
              <w:t xml:space="preserve">Practice AAR and peer/AI review</w:t>
            </w:r>
          </w:p>
        </w:tc>
      </w:tr>
      <w:tr>
        <w:tc>
          <w:tcPr>
            <w:tcW w:type="dxa" w:w="500"/>
            <w:shd w:fill="FFFFFF" w:color="auto" w:val="clear"/>
            <w:tcMar>
              <w:top w:type="dxa" w:w="80"/>
              <w:left w:type="dxa" w:w="120"/>
              <w:bottom w:type="dxa" w:w="80"/>
              <w:right w:type="dxa" w:w="120"/>
            </w:tcMar>
            <w:vAlign w:val="center"/>
          </w:tcPr>
          <w:p>
            <w:pPr>
              <w:jc w:val="center"/>
            </w:pPr>
            <w:r>
              <w:rPr>
                <w:rFonts w:ascii="Calibri" w:cs="Calibri" w:eastAsia="Calibri" w:hAnsi="Calibri"/>
                <w:b/>
                <w:bCs/>
                <w:color w:val="2E5C8A"/>
                <w:sz w:val="20"/>
                <w:szCs w:val="20"/>
              </w:rPr>
              <w:t xml:space="preserve">5</w:t>
            </w:r>
          </w:p>
        </w:tc>
        <w:tc>
          <w:tcPr>
            <w:tcW w:type="dxa" w:w="1800"/>
            <w:shd w:fill="FFFFFF" w:color="auto" w:val="clear"/>
            <w:tcMar>
              <w:top w:type="dxa" w:w="80"/>
              <w:left w:type="dxa" w:w="120"/>
              <w:bottom w:type="dxa" w:w="80"/>
              <w:right w:type="dxa" w:w="120"/>
            </w:tcMar>
          </w:tcPr>
          <w:p>
            <w:r>
              <w:rPr>
                <w:rFonts w:ascii="Calibri" w:cs="Calibri" w:eastAsia="Calibri" w:hAnsi="Calibri"/>
                <w:color w:val="2D2D2D"/>
                <w:sz w:val="20"/>
                <w:szCs w:val="20"/>
              </w:rPr>
              <w:t xml:space="preserve">Client Relationship Management</w:t>
            </w:r>
          </w:p>
        </w:tc>
        <w:tc>
          <w:tcPr>
            <w:tcW w:type="dxa" w:w="4260"/>
            <w:shd w:fill="FFFFFF" w:color="auto" w:val="clear"/>
            <w:tcMar>
              <w:top w:type="dxa" w:w="80"/>
              <w:left w:type="dxa" w:w="120"/>
              <w:bottom w:type="dxa" w:w="80"/>
              <w:right w:type="dxa" w:w="120"/>
            </w:tcMar>
          </w:tcPr>
          <w:p>
            <w:r>
              <w:rPr>
                <w:rFonts w:ascii="Calibri" w:cs="Calibri" w:eastAsia="Calibri" w:hAnsi="Calibri"/>
                <w:color w:val="2D2D2D"/>
                <w:sz w:val="20"/>
                <w:szCs w:val="20"/>
              </w:rPr>
              <w:t xml:space="preserve">Setting expectations, navigating sensitive findings, managing the advisory boundary (findings drive conversations, not sales).</w:t>
            </w:r>
          </w:p>
        </w:tc>
        <w:tc>
          <w:tcPr>
            <w:tcW w:type="dxa" w:w="2800"/>
            <w:shd w:fill="FFFFFF" w:color="auto" w:val="clear"/>
            <w:tcMar>
              <w:top w:type="dxa" w:w="80"/>
              <w:left w:type="dxa" w:w="120"/>
              <w:bottom w:type="dxa" w:w="80"/>
              <w:right w:type="dxa" w:w="120"/>
            </w:tcMar>
          </w:tcPr>
          <w:p>
            <w:r>
              <w:rPr>
                <w:rFonts w:ascii="Calibri" w:cs="Calibri" w:eastAsia="Calibri" w:hAnsi="Calibri"/>
                <w:color w:val="2D2D2D"/>
                <w:sz w:val="20"/>
                <w:szCs w:val="20"/>
              </w:rPr>
              <w:t xml:space="preserve">Client and coordinator feedback</w:t>
            </w:r>
          </w:p>
        </w:tc>
      </w:tr>
    </w:tbl>
    <w:p>
      <w:pPr>
        <w:spacing w:after="200"/>
      </w:pPr>
    </w:p>
    <w:p>
      <w:r>
        <w:br w:type="page"/>
      </w:r>
    </w:p>
    <w:p>
      <w:pPr>
        <w:pStyle w:val="Heading1"/>
        <w:spacing w:after="200" w:before="360"/>
      </w:pPr>
      <w:r>
        <w:rPr>
          <w:rFonts w:ascii="Calibri" w:cs="Calibri" w:eastAsia="Calibri" w:hAnsi="Calibri"/>
          <w:b/>
          <w:bCs/>
          <w:color w:val="1B3A5C"/>
          <w:sz w:val="32"/>
          <w:szCs w:val="32"/>
        </w:rPr>
        <w:t xml:space="preserve">Section 3: The Facilitator Mindset</w:t>
      </w:r>
    </w:p>
    <w:p>
      <w:pPr>
        <w:spacing w:after="120"/>
      </w:pPr>
      <w:r>
        <w:rPr>
          <w:rFonts w:ascii="Calibri" w:cs="Calibri" w:eastAsia="Calibri" w:hAnsi="Calibri"/>
          <w:b w:val="false"/>
          <w:bCs w:val="false"/>
          <w:i w:val="false"/>
          <w:iCs w:val="false"/>
          <w:color w:val="2D2D2D"/>
          <w:sz w:val="22"/>
          <w:szCs w:val="22"/>
        </w:rPr>
        <w:t xml:space="preserve">This section addresses the identity shift from technical expert to facilitator. If you have spent your career in MSP, MSSP, or vCISO roles, this shift will feel unnatural at first. That is expected.</w:t>
      </w:r>
    </w:p>
    <w:p>
      <w:pPr>
        <w:pStyle w:val="Heading2"/>
        <w:spacing w:after="120" w:before="240"/>
      </w:pPr>
      <w:r>
        <w:rPr>
          <w:rFonts w:ascii="Calibri" w:cs="Calibri" w:eastAsia="Calibri" w:hAnsi="Calibri"/>
          <w:b/>
          <w:bCs/>
          <w:color w:val="2E5C8A"/>
          <w:sz w:val="26"/>
          <w:szCs w:val="26"/>
        </w:rPr>
        <w:t xml:space="preserve">The Core Shift</w:t>
      </w:r>
    </w:p>
    <w:p>
      <w:pPr>
        <w:spacing w:after="120"/>
      </w:pPr>
      <w:r>
        <w:rPr>
          <w:rFonts w:ascii="Calibri" w:cs="Calibri" w:eastAsia="Calibri" w:hAnsi="Calibri"/>
          <w:b w:val="false"/>
          <w:bCs w:val="false"/>
          <w:i w:val="false"/>
          <w:iCs w:val="false"/>
          <w:color w:val="2D2D2D"/>
          <w:sz w:val="22"/>
          <w:szCs w:val="22"/>
        </w:rPr>
        <w:t xml:space="preserve">You are not the expert who answers. You are the guide who asks. Your technical knowledge is valuable background, but during the exercise your job is to draw out the room's knowledge, not display your own.</w:t>
      </w:r>
    </w:p>
    <w:p>
      <w:pPr>
        <w:pStyle w:val="Heading2"/>
        <w:spacing w:after="120" w:before="240"/>
      </w:pPr>
      <w:r>
        <w:rPr>
          <w:rFonts w:ascii="Calibri" w:cs="Calibri" w:eastAsia="Calibri" w:hAnsi="Calibri"/>
          <w:b/>
          <w:bCs/>
          <w:color w:val="2E5C8A"/>
          <w:sz w:val="26"/>
          <w:szCs w:val="26"/>
        </w:rPr>
        <w:t xml:space="preserve">Why This Is Hard for Technical People</w:t>
      </w:r>
    </w:p>
    <w:p>
      <w:pPr>
        <w:spacing w:after="120"/>
      </w:pPr>
      <w:r>
        <w:rPr>
          <w:rFonts w:ascii="Calibri" w:cs="Calibri" w:eastAsia="Calibri" w:hAnsi="Calibri"/>
          <w:b w:val="false"/>
          <w:bCs w:val="false"/>
          <w:i w:val="false"/>
          <w:iCs w:val="false"/>
          <w:color w:val="2D2D2D"/>
          <w:sz w:val="22"/>
          <w:szCs w:val="22"/>
        </w:rPr>
        <w:t xml:space="preserve">MSPs, MSSPs, and vCISOs spend their careers solving problems. In a tabletop exercise, you have to resist that instinct. When a participant describes a flawed approach, your reflex will be to correct them. Don't. That flawed approach is a finding. It's data. Correcting it in the room robs the AAR of its most valuable content.</w:t>
      </w:r>
    </w:p>
    <w:p>
      <w:pPr>
        <w:pStyle w:val="Heading2"/>
        <w:spacing w:after="120" w:before="240"/>
      </w:pPr>
      <w:r>
        <w:rPr>
          <w:rFonts w:ascii="Calibri" w:cs="Calibri" w:eastAsia="Calibri" w:hAnsi="Calibri"/>
          <w:b/>
          <w:bCs/>
          <w:color w:val="2E5C8A"/>
          <w:sz w:val="26"/>
          <w:szCs w:val="26"/>
        </w:rPr>
        <w:t xml:space="preserve">What Good Looks Like</w:t>
      </w:r>
    </w:p>
    <w:p>
      <w:pPr>
        <w:spacing w:after="120"/>
      </w:pPr>
      <w:r>
        <w:rPr>
          <w:rFonts w:ascii="Calibri" w:cs="Calibri" w:eastAsia="Calibri" w:hAnsi="Calibri"/>
          <w:b w:val="false"/>
          <w:bCs w:val="false"/>
          <w:i w:val="false"/>
          <w:iCs w:val="false"/>
          <w:color w:val="2D2D2D"/>
          <w:sz w:val="22"/>
          <w:szCs w:val="22"/>
        </w:rPr>
        <w:t xml:space="preserve">The best facilitators talk less than any individual participant. They ask short, open questions. They tolerate silence. They redirect rather than correct. They are genuinely curious about what the organization would do, even when they already know what it should do.</w:t>
      </w:r>
    </w:p>
    <w:p>
      <w:pPr>
        <w:pStyle w:val="Heading2"/>
        <w:spacing w:after="120" w:before="240"/>
      </w:pPr>
      <w:r>
        <w:rPr>
          <w:rFonts w:ascii="Calibri" w:cs="Calibri" w:eastAsia="Calibri" w:hAnsi="Calibri"/>
          <w:b/>
          <w:bCs/>
          <w:color w:val="2E5C8A"/>
          <w:sz w:val="26"/>
          <w:szCs w:val="26"/>
        </w:rPr>
        <w:t xml:space="preserve">The Expert Trap</w:t>
      </w:r>
    </w:p>
    <w:p>
      <w:pPr>
        <w:spacing w:after="120"/>
      </w:pPr>
      <w:r>
        <w:rPr>
          <w:rFonts w:ascii="Calibri" w:cs="Calibri" w:eastAsia="Calibri" w:hAnsi="Calibri"/>
          <w:b w:val="false"/>
          <w:bCs w:val="false"/>
          <w:i w:val="false"/>
          <w:iCs w:val="false"/>
          <w:color w:val="2D2D2D"/>
          <w:sz w:val="22"/>
          <w:szCs w:val="22"/>
        </w:rPr>
        <w:t xml:space="preserve">The moment you start teaching during the exercise, you've stopped facilitating. Teaching is for the AAR debrief, for the remediation conversation, for the advisory follow-up. During the exercise, you are a mirror, not a lamp.</w:t>
      </w:r>
    </w:p>
    <w:p>
      <w:pPr>
        <w:pStyle w:val="Heading2"/>
        <w:spacing w:after="120" w:before="240"/>
      </w:pPr>
      <w:r>
        <w:rPr>
          <w:rFonts w:ascii="Calibri" w:cs="Calibri" w:eastAsia="Calibri" w:hAnsi="Calibri"/>
          <w:b/>
          <w:bCs/>
          <w:color w:val="2E5C8A"/>
          <w:sz w:val="26"/>
          <w:szCs w:val="26"/>
        </w:rPr>
        <w:t xml:space="preserve">Checking Yourself</w:t>
      </w:r>
    </w:p>
    <w:p>
      <w:pPr>
        <w:spacing w:after="120"/>
      </w:pPr>
      <w:r>
        <w:rPr>
          <w:rFonts w:ascii="Calibri" w:cs="Calibri" w:eastAsia="Calibri" w:hAnsi="Calibri"/>
          <w:b w:val="false"/>
          <w:bCs w:val="false"/>
          <w:i w:val="false"/>
          <w:iCs w:val="false"/>
          <w:color w:val="2D2D2D"/>
          <w:sz w:val="22"/>
          <w:szCs w:val="22"/>
        </w:rPr>
        <w:t xml:space="preserve">Before each module, ask: "Am I about to guide, or am I about to lecture?" If you catch yourself forming an answer instead of a question, pause and rephrase.</w:t>
      </w:r>
    </w:p>
    <w:p>
      <w:pPr>
        <w:spacing w:after="12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E6C84C" w:sz="2"/>
              <w:left w:val="single" w:color="D4A843" w:sz="12"/>
              <w:bottom w:val="single" w:color="E6C84C" w:sz="2"/>
              <w:right w:val="single" w:color="E6C84C" w:sz="2"/>
            </w:tcBorders>
            <w:shd w:fill="FFF8E1" w:color="auto" w:val="clear"/>
            <w:tcMar>
              <w:top w:type="dxa" w:w="120"/>
              <w:left w:type="dxa" w:w="200"/>
              <w:bottom w:type="dxa" w:w="120"/>
              <w:right w:type="dxa" w:w="200"/>
            </w:tcMar>
          </w:tcPr>
          <w:p>
            <w:r>
              <w:rPr>
                <w:rFonts w:ascii="Calibri" w:cs="Calibri" w:eastAsia="Calibri" w:hAnsi="Calibri"/>
                <w:i/>
                <w:iCs/>
                <w:color w:val="2D2D2D"/>
                <w:sz w:val="20"/>
                <w:szCs w:val="20"/>
              </w:rPr>
              <w:t xml:space="preserve">The hardest part of facilitation for technical people is not the scenario or the template. It's staying quiet when you know the answer.</w:t>
            </w:r>
          </w:p>
        </w:tc>
      </w:tr>
    </w:tbl>
    <w:p>
      <w:pPr>
        <w:spacing w:after="200"/>
      </w:pPr>
    </w:p>
    <w:p>
      <w:r>
        <w:br w:type="page"/>
      </w:r>
    </w:p>
    <w:p>
      <w:pPr>
        <w:pStyle w:val="Heading1"/>
        <w:spacing w:after="200" w:before="360"/>
      </w:pPr>
      <w:r>
        <w:rPr>
          <w:rFonts w:ascii="Calibri" w:cs="Calibri" w:eastAsia="Calibri" w:hAnsi="Calibri"/>
          <w:b/>
          <w:bCs/>
          <w:color w:val="1B3A5C"/>
          <w:sz w:val="32"/>
          <w:szCs w:val="32"/>
        </w:rPr>
        <w:t xml:space="preserve">Section 4: Soft Skills for Facilitation</w:t>
      </w:r>
    </w:p>
    <w:p>
      <w:pPr>
        <w:spacing w:after="120"/>
      </w:pPr>
      <w:r>
        <w:rPr>
          <w:rFonts w:ascii="Calibri" w:cs="Calibri" w:eastAsia="Calibri" w:hAnsi="Calibri"/>
          <w:b w:val="false"/>
          <w:bCs w:val="false"/>
          <w:i w:val="false"/>
          <w:iCs w:val="false"/>
          <w:color w:val="2D2D2D"/>
          <w:sz w:val="22"/>
          <w:szCs w:val="22"/>
        </w:rPr>
        <w:t xml:space="preserve">This section covers the interpersonal skills that make the difference between a mechanical exercise and a productive one.</w:t>
      </w:r>
    </w:p>
    <w:p>
      <w:pPr>
        <w:pStyle w:val="Heading2"/>
        <w:spacing w:after="120" w:before="240"/>
      </w:pPr>
      <w:r>
        <w:rPr>
          <w:rFonts w:ascii="Calibri" w:cs="Calibri" w:eastAsia="Calibri" w:hAnsi="Calibri"/>
          <w:b/>
          <w:bCs/>
          <w:color w:val="2E5C8A"/>
          <w:sz w:val="26"/>
          <w:szCs w:val="26"/>
        </w:rPr>
        <w:t xml:space="preserve">Active Listening</w:t>
      </w:r>
    </w:p>
    <w:p>
      <w:pPr>
        <w:spacing w:after="120"/>
      </w:pPr>
      <w:r>
        <w:rPr>
          <w:rFonts w:ascii="Calibri" w:cs="Calibri" w:eastAsia="Calibri" w:hAnsi="Calibri"/>
          <w:b w:val="false"/>
          <w:bCs w:val="false"/>
          <w:i w:val="false"/>
          <w:iCs w:val="false"/>
          <w:color w:val="2D2D2D"/>
          <w:sz w:val="22"/>
          <w:szCs w:val="22"/>
        </w:rPr>
        <w:t xml:space="preserve">Listen for what's not said as much as what is. When a participant says "we'd probably call IT," the word "probably" is doing heavy lifting. Probe it: "Walk me through who specifically gets called and what happens if they're unavailable."</w:t>
      </w:r>
    </w:p>
    <w:p>
      <w:pPr>
        <w:spacing w:after="120"/>
      </w:pPr>
      <w:r>
        <w:rPr>
          <w:rFonts w:ascii="Calibri" w:cs="Calibri" w:eastAsia="Calibri" w:hAnsi="Calibri"/>
          <w:b w:val="false"/>
          <w:bCs w:val="false"/>
          <w:i w:val="false"/>
          <w:iCs w:val="false"/>
          <w:color w:val="2D2D2D"/>
          <w:sz w:val="22"/>
          <w:szCs w:val="22"/>
        </w:rPr>
        <w:t xml:space="preserve">Paraphrase before probing. "So your first step would be to contact the help desk. What happens next?" This confirms you heard them and gives them a platform to continue.</w:t>
      </w:r>
    </w:p>
    <w:p>
      <w:pPr>
        <w:spacing w:after="120"/>
      </w:pPr>
      <w:r>
        <w:rPr>
          <w:rFonts w:ascii="Calibri" w:cs="Calibri" w:eastAsia="Calibri" w:hAnsi="Calibri"/>
          <w:b w:val="false"/>
          <w:bCs w:val="false"/>
          <w:i w:val="false"/>
          <w:iCs w:val="false"/>
          <w:color w:val="2D2D2D"/>
          <w:sz w:val="22"/>
          <w:szCs w:val="22"/>
        </w:rPr>
        <w:t xml:space="preserve">Watch for contradictions between participants. Those are gold. "Earlier, [Name] said the CFO makes that call. [Name], you mentioned the COO. Help me understand how that decision actually gets made."</w:t>
      </w:r>
    </w:p>
    <w:p>
      <w:pPr>
        <w:pStyle w:val="Heading2"/>
        <w:spacing w:after="120" w:before="240"/>
      </w:pPr>
      <w:r>
        <w:rPr>
          <w:rFonts w:ascii="Calibri" w:cs="Calibri" w:eastAsia="Calibri" w:hAnsi="Calibri"/>
          <w:b/>
          <w:bCs/>
          <w:color w:val="2E5C8A"/>
          <w:sz w:val="26"/>
          <w:szCs w:val="26"/>
        </w:rPr>
        <w:t xml:space="preserve">Managing Silence</w:t>
      </w:r>
    </w:p>
    <w:p>
      <w:pPr>
        <w:spacing w:after="120"/>
      </w:pPr>
      <w:r>
        <w:rPr>
          <w:rFonts w:ascii="Calibri" w:cs="Calibri" w:eastAsia="Calibri" w:hAnsi="Calibri"/>
          <w:b w:val="false"/>
          <w:bCs w:val="false"/>
          <w:i w:val="false"/>
          <w:iCs w:val="false"/>
          <w:color w:val="2D2D2D"/>
          <w:sz w:val="22"/>
          <w:szCs w:val="22"/>
        </w:rPr>
        <w:t xml:space="preserve">Silence after an inject or probe question is productive. Count to ten in your head before filling it. The room needs time to think.</w:t>
      </w:r>
    </w:p>
    <w:p>
      <w:pPr>
        <w:spacing w:after="120"/>
      </w:pPr>
      <w:r>
        <w:rPr>
          <w:rFonts w:ascii="Calibri" w:cs="Calibri" w:eastAsia="Calibri" w:hAnsi="Calibri"/>
          <w:b w:val="false"/>
          <w:bCs w:val="false"/>
          <w:i w:val="false"/>
          <w:iCs w:val="false"/>
          <w:color w:val="2D2D2D"/>
          <w:sz w:val="22"/>
          <w:szCs w:val="22"/>
        </w:rPr>
        <w:t xml:space="preserve">If silence persists past 15 seconds, try a softer probe: "Let me put it differently. If this happened at 2 AM on a Friday, who's getting the first phone call?"</w:t>
      </w:r>
    </w:p>
    <w:p>
      <w:pPr>
        <w:spacing w:after="120"/>
      </w:pPr>
      <w:r>
        <w:rPr>
          <w:rFonts w:ascii="Calibri" w:cs="Calibri" w:eastAsia="Calibri" w:hAnsi="Calibri"/>
          <w:b w:val="false"/>
          <w:bCs w:val="false"/>
          <w:i w:val="false"/>
          <w:iCs w:val="false"/>
          <w:color w:val="2D2D2D"/>
          <w:sz w:val="22"/>
          <w:szCs w:val="22"/>
        </w:rPr>
        <w:t xml:space="preserve">Silence often means the question hit something real. Don't rescue participants from discomfort; that discomfort is the exercise working.</w:t>
      </w:r>
    </w:p>
    <w:p>
      <w:pPr>
        <w:pStyle w:val="Heading2"/>
        <w:spacing w:after="120" w:before="240"/>
      </w:pPr>
      <w:r>
        <w:rPr>
          <w:rFonts w:ascii="Calibri" w:cs="Calibri" w:eastAsia="Calibri" w:hAnsi="Calibri"/>
          <w:b/>
          <w:bCs/>
          <w:color w:val="2E5C8A"/>
          <w:sz w:val="26"/>
          <w:szCs w:val="26"/>
        </w:rPr>
        <w:t xml:space="preserve">Drawing Out Quiet Participants</w:t>
      </w:r>
    </w:p>
    <w:p>
      <w:pPr>
        <w:spacing w:after="120"/>
      </w:pPr>
      <w:r>
        <w:rPr>
          <w:rFonts w:ascii="Calibri" w:cs="Calibri" w:eastAsia="Calibri" w:hAnsi="Calibri"/>
          <w:b w:val="false"/>
          <w:bCs w:val="false"/>
          <w:i w:val="false"/>
          <w:iCs w:val="false"/>
          <w:color w:val="2D2D2D"/>
          <w:sz w:val="22"/>
          <w:szCs w:val="22"/>
        </w:rPr>
        <w:t xml:space="preserve">Use role-based invitations, not cold calls. "We haven't heard from the operations side yet. [Name], how would this affect your team's day-to-day?" is less confrontational than "[Name], what do you think?"</w:t>
      </w:r>
    </w:p>
    <w:p>
      <w:pPr>
        <w:spacing w:after="120"/>
      </w:pPr>
      <w:r>
        <w:rPr>
          <w:rFonts w:ascii="Calibri" w:cs="Calibri" w:eastAsia="Calibri" w:hAnsi="Calibri"/>
          <w:b w:val="false"/>
          <w:bCs w:val="false"/>
          <w:i w:val="false"/>
          <w:iCs w:val="false"/>
          <w:color w:val="2D2D2D"/>
          <w:sz w:val="22"/>
          <w:szCs w:val="22"/>
        </w:rPr>
        <w:t xml:space="preserve">After someone speaks for the first time, acknowledge it warmly and briefly. This makes the second contribution easier.</w:t>
      </w:r>
    </w:p>
    <w:p>
      <w:pPr>
        <w:spacing w:after="120"/>
      </w:pPr>
      <w:r>
        <w:rPr>
          <w:rFonts w:ascii="Calibri" w:cs="Calibri" w:eastAsia="Calibri" w:hAnsi="Calibri"/>
          <w:b w:val="false"/>
          <w:bCs w:val="false"/>
          <w:i w:val="false"/>
          <w:iCs w:val="false"/>
          <w:color w:val="2D2D2D"/>
          <w:sz w:val="22"/>
          <w:szCs w:val="22"/>
        </w:rPr>
        <w:t xml:space="preserve">Watch for body language: leaning forward, almost speaking, reacting to others. These are invitations to include someone.</w:t>
      </w:r>
    </w:p>
    <w:p>
      <w:pPr>
        <w:pStyle w:val="Heading2"/>
        <w:spacing w:after="120" w:before="240"/>
      </w:pPr>
      <w:r>
        <w:rPr>
          <w:rFonts w:ascii="Calibri" w:cs="Calibri" w:eastAsia="Calibri" w:hAnsi="Calibri"/>
          <w:b/>
          <w:bCs/>
          <w:color w:val="2E5C8A"/>
          <w:sz w:val="26"/>
          <w:szCs w:val="26"/>
        </w:rPr>
        <w:t xml:space="preserve">Managing Dominant Voices</w:t>
      </w:r>
    </w:p>
    <w:p>
      <w:pPr>
        <w:spacing w:after="120"/>
      </w:pPr>
      <w:r>
        <w:rPr>
          <w:rFonts w:ascii="Calibri" w:cs="Calibri" w:eastAsia="Calibri" w:hAnsi="Calibri"/>
          <w:b w:val="false"/>
          <w:bCs w:val="false"/>
          <w:i w:val="false"/>
          <w:iCs w:val="false"/>
          <w:color w:val="2D2D2D"/>
          <w:sz w:val="22"/>
          <w:szCs w:val="22"/>
        </w:rPr>
        <w:t xml:space="preserve">Validate, then redirect: "That's a solid point about network segmentation. I want to build on that. [Name], from the compliance perspective, how does this change your risk picture?"</w:t>
      </w:r>
    </w:p>
    <w:p>
      <w:pPr>
        <w:spacing w:after="120"/>
      </w:pPr>
      <w:r>
        <w:rPr>
          <w:rFonts w:ascii="Calibri" w:cs="Calibri" w:eastAsia="Calibri" w:hAnsi="Calibri"/>
          <w:b w:val="false"/>
          <w:bCs w:val="false"/>
          <w:i w:val="false"/>
          <w:iCs w:val="false"/>
          <w:color w:val="2D2D2D"/>
          <w:sz w:val="22"/>
          <w:szCs w:val="22"/>
        </w:rPr>
        <w:t xml:space="preserve">Use structural controls: "Let's go around the table on this one. Thirty seconds each on what your first call would be."</w:t>
      </w:r>
    </w:p>
    <w:p>
      <w:pPr>
        <w:spacing w:after="120"/>
      </w:pPr>
      <w:r>
        <w:rPr>
          <w:rFonts w:ascii="Calibri" w:cs="Calibri" w:eastAsia="Calibri" w:hAnsi="Calibri"/>
          <w:b w:val="false"/>
          <w:bCs w:val="false"/>
          <w:i w:val="false"/>
          <w:iCs w:val="false"/>
          <w:color w:val="2D2D2D"/>
          <w:sz w:val="22"/>
          <w:szCs w:val="22"/>
        </w:rPr>
        <w:t xml:space="preserve">If one person consistently answers for others: "I appreciate that. I'd like to hear what [their department] would say in their own words."</w:t>
      </w:r>
    </w:p>
    <w:p>
      <w:pPr>
        <w:pStyle w:val="Heading2"/>
        <w:spacing w:after="120" w:before="240"/>
      </w:pPr>
      <w:r>
        <w:rPr>
          <w:rFonts w:ascii="Calibri" w:cs="Calibri" w:eastAsia="Calibri" w:hAnsi="Calibri"/>
          <w:b/>
          <w:bCs/>
          <w:color w:val="2E5C8A"/>
          <w:sz w:val="26"/>
          <w:szCs w:val="26"/>
        </w:rPr>
        <w:t xml:space="preserve">Handling Sensitive Moments</w:t>
      </w:r>
    </w:p>
    <w:p>
      <w:pPr>
        <w:spacing w:after="120"/>
      </w:pPr>
      <w:r>
        <w:rPr>
          <w:rFonts w:ascii="Calibri" w:cs="Calibri" w:eastAsia="Calibri" w:hAnsi="Calibri"/>
          <w:b w:val="false"/>
          <w:bCs w:val="false"/>
          <w:i w:val="false"/>
          <w:iCs w:val="false"/>
          <w:color w:val="2D2D2D"/>
          <w:sz w:val="22"/>
          <w:szCs w:val="22"/>
        </w:rPr>
        <w:t xml:space="preserve">Participants sometimes reveal real vulnerabilities during exercises: actual policy gaps, real incidents, interpersonal conflicts. When this happens, acknowledge it without dwelling: "That's exactly the kind of thing this exercise is designed to surface. Let's note it and keep moving."</w:t>
      </w:r>
    </w:p>
    <w:p>
      <w:pPr>
        <w:spacing w:after="120"/>
      </w:pPr>
      <w:r>
        <w:rPr>
          <w:rFonts w:ascii="Calibri" w:cs="Calibri" w:eastAsia="Calibri" w:hAnsi="Calibri"/>
          <w:b w:val="false"/>
          <w:bCs w:val="false"/>
          <w:i w:val="false"/>
          <w:iCs w:val="false"/>
          <w:color w:val="2D2D2D"/>
          <w:sz w:val="22"/>
          <w:szCs w:val="22"/>
        </w:rPr>
        <w:t xml:space="preserve">Never let the room pile on when someone admits a gap. The ground rules protect this, but you may need to reinforce them: "Remember, we're here to find gaps, not assign blame."</w:t>
      </w:r>
    </w:p>
    <w:p>
      <w:pPr>
        <w:spacing w:after="120"/>
      </w:pPr>
      <w:r>
        <w:rPr>
          <w:rFonts w:ascii="Calibri" w:cs="Calibri" w:eastAsia="Calibri" w:hAnsi="Calibri"/>
          <w:b w:val="false"/>
          <w:bCs w:val="false"/>
          <w:i w:val="false"/>
          <w:iCs w:val="false"/>
          <w:color w:val="2D2D2D"/>
          <w:sz w:val="22"/>
          <w:szCs w:val="22"/>
        </w:rPr>
        <w:t xml:space="preserve">If emotions rise (and they sometimes do when the scenario hits close to home), slow down. Lower your voice. Give the room a moment. "This is clearly something that matters to the team. Let's take a breath and think about what the organization needs here."</w:t>
      </w:r>
    </w:p>
    <w:p>
      <w:pPr>
        <w:pStyle w:val="Heading2"/>
        <w:spacing w:after="120" w:before="240"/>
      </w:pPr>
      <w:r>
        <w:rPr>
          <w:rFonts w:ascii="Calibri" w:cs="Calibri" w:eastAsia="Calibri" w:hAnsi="Calibri"/>
          <w:b/>
          <w:bCs/>
          <w:color w:val="2E5C8A"/>
          <w:sz w:val="26"/>
          <w:szCs w:val="26"/>
        </w:rPr>
        <w:t xml:space="preserve">Reading the Room</w:t>
      </w:r>
    </w:p>
    <w:p>
      <w:pPr>
        <w:spacing w:after="120"/>
      </w:pPr>
      <w:r>
        <w:rPr>
          <w:rFonts w:ascii="Calibri" w:cs="Calibri" w:eastAsia="Calibri" w:hAnsi="Calibri"/>
          <w:b w:val="false"/>
          <w:bCs w:val="false"/>
          <w:i w:val="false"/>
          <w:iCs w:val="false"/>
          <w:color w:val="2D2D2D"/>
          <w:sz w:val="22"/>
          <w:szCs w:val="22"/>
        </w:rPr>
        <w:t xml:space="preserve">Energy drops are normal around 60 to 90 minutes in. Have a plan: take a short break, switch to a more dramatic inject, or shift to a different part of the scenario.</w:t>
      </w:r>
    </w:p>
    <w:p>
      <w:pPr>
        <w:spacing w:after="120"/>
      </w:pPr>
      <w:r>
        <w:rPr>
          <w:rFonts w:ascii="Calibri" w:cs="Calibri" w:eastAsia="Calibri" w:hAnsi="Calibri"/>
          <w:b w:val="false"/>
          <w:bCs w:val="false"/>
          <w:i w:val="false"/>
          <w:iCs w:val="false"/>
          <w:color w:val="2D2D2D"/>
          <w:sz w:val="22"/>
          <w:szCs w:val="22"/>
        </w:rPr>
        <w:t xml:space="preserve">Watch for sidebar conversations. They usually mean something interesting is happening that hasn't reached the main discussion. "I notice some side discussion. Want to bring that to the group?"</w:t>
      </w:r>
    </w:p>
    <w:p>
      <w:pPr>
        <w:spacing w:after="120"/>
      </w:pPr>
      <w:r>
        <w:rPr>
          <w:rFonts w:ascii="Calibri" w:cs="Calibri" w:eastAsia="Calibri" w:hAnsi="Calibri"/>
          <w:b w:val="false"/>
          <w:bCs w:val="false"/>
          <w:i w:val="false"/>
          <w:iCs w:val="false"/>
          <w:color w:val="2D2D2D"/>
          <w:sz w:val="22"/>
          <w:szCs w:val="22"/>
        </w:rPr>
        <w:t xml:space="preserve">If the room is checked out, you're probably talking too much. Ask a question and wait.</w:t>
      </w:r>
    </w:p>
    <w:p>
      <w:pPr>
        <w:spacing w:after="12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E6C84C" w:sz="2"/>
              <w:left w:val="single" w:color="D4A843" w:sz="12"/>
              <w:bottom w:val="single" w:color="E6C84C" w:sz="2"/>
              <w:right w:val="single" w:color="E6C84C" w:sz="2"/>
            </w:tcBorders>
            <w:shd w:fill="FFF8E1" w:color="auto" w:val="clear"/>
            <w:tcMar>
              <w:top w:type="dxa" w:w="120"/>
              <w:left w:type="dxa" w:w="200"/>
              <w:bottom w:type="dxa" w:w="120"/>
              <w:right w:type="dxa" w:w="200"/>
            </w:tcMar>
          </w:tcPr>
          <w:p>
            <w:r>
              <w:rPr>
                <w:rFonts w:ascii="Calibri" w:cs="Calibri" w:eastAsia="Calibri" w:hAnsi="Calibri"/>
                <w:i/>
                <w:iCs/>
                <w:color w:val="2D2D2D"/>
                <w:sz w:val="20"/>
                <w:szCs w:val="20"/>
              </w:rPr>
              <w:t xml:space="preserve">Soft skills are not personality traits. They're techniques you practice. Your first exercise will feel mechanical. By your fifth, they'll be instinct.</w:t>
            </w:r>
          </w:p>
        </w:tc>
      </w:tr>
    </w:tbl>
    <w:p>
      <w:pPr>
        <w:spacing w:after="200"/>
      </w:pPr>
    </w:p>
    <w:p>
      <w:pPr>
        <w:pStyle w:val="Heading1"/>
        <w:spacing w:after="200" w:before="360"/>
      </w:pPr>
      <w:r>
        <w:rPr>
          <w:rFonts w:ascii="Calibri" w:cs="Calibri" w:eastAsia="Calibri" w:hAnsi="Calibri"/>
          <w:b/>
          <w:bCs/>
          <w:color w:val="1B3A5C"/>
          <w:sz w:val="32"/>
          <w:szCs w:val="32"/>
        </w:rPr>
        <w:t xml:space="preserve">Section 5: The Training Path</w:t>
      </w:r>
    </w:p>
    <w:p>
      <w:pPr>
        <w:spacing w:after="120"/>
      </w:pPr>
      <w:r>
        <w:rPr>
          <w:rFonts w:ascii="Calibri" w:cs="Calibri" w:eastAsia="Calibri" w:hAnsi="Calibri"/>
          <w:b w:val="false"/>
          <w:bCs w:val="false"/>
          <w:i w:val="false"/>
          <w:iCs w:val="false"/>
          <w:color w:val="2D2D2D"/>
          <w:sz w:val="22"/>
          <w:szCs w:val="22"/>
        </w:rPr>
        <w:t xml:space="preserve">The training path is progressive: each phase builds on the one before it. Don't skip ahead. The total time investment before your first client engagement is approximately 24 hours spread across 2-3 weeks.</w:t>
      </w:r>
    </w:p>
    <w:p>
      <w:pPr>
        <w:spacing w:after="80"/>
      </w:pPr>
    </w:p>
    <w:p>
      <w:pPr>
        <w:pStyle w:val="Heading2"/>
        <w:spacing w:after="120" w:before="240"/>
      </w:pPr>
      <w:r>
        <w:rPr>
          <w:rFonts w:ascii="Calibri" w:cs="Calibri" w:eastAsia="Calibri" w:hAnsi="Calibri"/>
          <w:b/>
          <w:bCs/>
          <w:color w:val="2E5C8A"/>
          <w:sz w:val="26"/>
          <w:szCs w:val="26"/>
        </w:rPr>
        <w:t xml:space="preserve">Phase 1: Read and Absorb (Days 1–3, ~8 hours)</w:t>
      </w:r>
    </w:p>
    <w:p>
      <w:pPr>
        <w:pStyle w:val="ListParagraph"/>
        <w:numPr>
          <w:ilvl w:val="0"/>
          <w:numId w:val="2"/>
        </w:numPr>
        <w:spacing w:after="60"/>
      </w:pPr>
      <w:r>
        <w:rPr>
          <w:rFonts w:ascii="Calibri" w:cs="Calibri" w:eastAsia="Calibri" w:hAnsi="Calibri"/>
          <w:color w:val="2D2D2D"/>
          <w:sz w:val="22"/>
          <w:szCs w:val="22"/>
        </w:rPr>
        <w:t xml:space="preserve">Read the Program Guide end-to-end</w:t>
      </w:r>
    </w:p>
    <w:p>
      <w:pPr>
        <w:pStyle w:val="ListParagraph"/>
        <w:numPr>
          <w:ilvl w:val="0"/>
          <w:numId w:val="2"/>
        </w:numPr>
        <w:spacing w:after="60"/>
      </w:pPr>
      <w:r>
        <w:rPr>
          <w:rFonts w:ascii="Calibri" w:cs="Calibri" w:eastAsia="Calibri" w:hAnsi="Calibri"/>
          <w:color w:val="2D2D2D"/>
          <w:sz w:val="22"/>
          <w:szCs w:val="22"/>
        </w:rPr>
        <w:t xml:space="preserve">Read the Facilitator Guide ,  focus on the run-of-show, facilitation techniques, and the advisory closing script</w:t>
      </w:r>
    </w:p>
    <w:p>
      <w:pPr>
        <w:pStyle w:val="ListParagraph"/>
        <w:numPr>
          <w:ilvl w:val="0"/>
          <w:numId w:val="2"/>
        </w:numPr>
        <w:spacing w:after="60"/>
      </w:pPr>
      <w:r>
        <w:rPr>
          <w:rFonts w:ascii="Calibri" w:cs="Calibri" w:eastAsia="Calibri" w:hAnsi="Calibri"/>
          <w:color w:val="2D2D2D"/>
          <w:sz w:val="22"/>
          <w:szCs w:val="22"/>
        </w:rPr>
        <w:t xml:space="preserve">Read Severity and Finding Standards and the Sample Findings Library ,  focus on what makes a good finding vs a bad one</w:t>
      </w:r>
    </w:p>
    <w:p>
      <w:pPr>
        <w:pStyle w:val="ListParagraph"/>
        <w:numPr>
          <w:ilvl w:val="0"/>
          <w:numId w:val="2"/>
        </w:numPr>
        <w:spacing w:after="60"/>
      </w:pPr>
      <w:r>
        <w:rPr>
          <w:rFonts w:ascii="Calibri" w:cs="Calibri" w:eastAsia="Calibri" w:hAnsi="Calibri"/>
          <w:color w:val="2D2D2D"/>
          <w:sz w:val="22"/>
          <w:szCs w:val="22"/>
        </w:rPr>
        <w:t xml:space="preserve">Read the Observer Kit ,  understand what your observer is doing and why</w:t>
      </w:r>
    </w:p>
    <w:p>
      <w:pPr>
        <w:pStyle w:val="ListParagraph"/>
        <w:numPr>
          <w:ilvl w:val="0"/>
          <w:numId w:val="2"/>
        </w:numPr>
        <w:spacing w:after="60"/>
      </w:pPr>
      <w:r>
        <w:rPr>
          <w:rFonts w:ascii="Calibri" w:cs="Calibri" w:eastAsia="Calibri" w:hAnsi="Calibri"/>
          <w:color w:val="2D2D2D"/>
          <w:sz w:val="22"/>
          <w:szCs w:val="22"/>
        </w:rPr>
        <w:t xml:space="preserve">Read at least 2 scenario packages (recommend GS-1c and GS-3 as starting points)</w:t>
      </w:r>
    </w:p>
    <w:p>
      <w:pPr>
        <w:pStyle w:val="ListParagraph"/>
        <w:numPr>
          <w:ilvl w:val="0"/>
          <w:numId w:val="2"/>
        </w:numPr>
        <w:spacing w:after="60"/>
      </w:pPr>
      <w:r>
        <w:rPr>
          <w:rFonts w:ascii="Calibri" w:cs="Calibri" w:eastAsia="Calibri" w:hAnsi="Calibri"/>
          <w:color w:val="2D2D2D"/>
          <w:sz w:val="22"/>
          <w:szCs w:val="22"/>
        </w:rPr>
        <w:t xml:space="preserve">Read the AAR Template ,  understand the 11 mandatory sections</w:t>
      </w:r>
    </w:p>
    <w:p>
      <w:pPr>
        <w:spacing w:after="8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E6C84C" w:sz="2"/>
              <w:left w:val="single" w:color="D4A843" w:sz="12"/>
              <w:bottom w:val="single" w:color="E6C84C" w:sz="2"/>
              <w:right w:val="single" w:color="E6C84C" w:sz="2"/>
            </w:tcBorders>
            <w:shd w:fill="FFF8E1" w:color="auto" w:val="clear"/>
            <w:tcMar>
              <w:top w:type="dxa" w:w="120"/>
              <w:left w:type="dxa" w:w="200"/>
              <w:bottom w:type="dxa" w:w="120"/>
              <w:right w:type="dxa" w:w="200"/>
            </w:tcMar>
          </w:tcPr>
          <w:p>
            <w:r>
              <w:rPr>
                <w:rFonts w:ascii="Calibri" w:cs="Calibri" w:eastAsia="Calibri" w:hAnsi="Calibri"/>
                <w:i/>
                <w:iCs/>
                <w:color w:val="2D2D2D"/>
                <w:sz w:val="20"/>
                <w:szCs w:val="20"/>
              </w:rPr>
              <w:t xml:space="preserve">You are not memorizing these documents. You are building a mental model of what the exercise looks like, what the deliverables contain, and what quality means in this program.</w:t>
            </w:r>
          </w:p>
        </w:tc>
      </w:tr>
    </w:tbl>
    <w:p>
      <w:pPr>
        <w:spacing w:after="200"/>
      </w:pPr>
    </w:p>
    <w:p>
      <w:pPr>
        <w:pStyle w:val="Heading2"/>
        <w:spacing w:after="120" w:before="240"/>
      </w:pPr>
      <w:r>
        <w:rPr>
          <w:rFonts w:ascii="Calibri" w:cs="Calibri" w:eastAsia="Calibri" w:hAnsi="Calibri"/>
          <w:b/>
          <w:bCs/>
          <w:color w:val="2E5C8A"/>
          <w:sz w:val="26"/>
          <w:szCs w:val="26"/>
        </w:rPr>
        <w:t xml:space="preserve">Phase 2: Watch and Learn (Days 4–7, ~4 hours)</w:t>
      </w:r>
    </w:p>
    <w:p>
      <w:pPr>
        <w:pStyle w:val="ListParagraph"/>
        <w:numPr>
          <w:ilvl w:val="0"/>
          <w:numId w:val="2"/>
        </w:numPr>
        <w:spacing w:after="60"/>
      </w:pPr>
      <w:r>
        <w:rPr>
          <w:rFonts w:ascii="Calibri" w:cs="Calibri" w:eastAsia="Calibri" w:hAnsi="Calibri"/>
          <w:color w:val="2D2D2D"/>
          <w:sz w:val="22"/>
          <w:szCs w:val="22"/>
        </w:rPr>
        <w:t xml:space="preserve">Watch FEMA's free tabletop exercise videos and after-action discussions (available on YouTube and training.fema.gov). These are not Pulse Check exercises but they demonstrate facilitation mechanics: pacing, probe questions, room management, debrief techniques.</w:t>
      </w:r>
    </w:p>
    <w:p>
      <w:pPr>
        <w:pStyle w:val="ListParagraph"/>
        <w:numPr>
          <w:ilvl w:val="0"/>
          <w:numId w:val="2"/>
        </w:numPr>
        <w:spacing w:after="60"/>
      </w:pPr>
      <w:r>
        <w:rPr>
          <w:rFonts w:ascii="Calibri" w:cs="Calibri" w:eastAsia="Calibri" w:hAnsi="Calibri"/>
          <w:color w:val="2D2D2D"/>
          <w:sz w:val="22"/>
          <w:szCs w:val="22"/>
        </w:rPr>
        <w:t xml:space="preserve">Review 2–3 real-world after-action reports from public sources (FEMA Lessons Learned Information System at llis.fema.gov, or published municipal/healthcare AAR summaries). Note the structure, tone, and level of specificity.</w:t>
      </w:r>
    </w:p>
    <w:p>
      <w:pPr>
        <w:pStyle w:val="ListParagraph"/>
        <w:numPr>
          <w:ilvl w:val="0"/>
          <w:numId w:val="2"/>
        </w:numPr>
        <w:spacing w:after="60"/>
      </w:pPr>
      <w:r>
        <w:rPr>
          <w:rFonts w:ascii="Calibri" w:cs="Calibri" w:eastAsia="Calibri" w:hAnsi="Calibri"/>
          <w:color w:val="2D2D2D"/>
          <w:sz w:val="22"/>
          <w:szCs w:val="22"/>
        </w:rPr>
        <w:t xml:space="preserve">If available: watch a recorded TTx facilitation (any format) and take notes as if you were the observer, using the Observer Kit's seven-category framework.</w:t>
      </w:r>
    </w:p>
    <w:p>
      <w:pPr>
        <w:spacing w:after="8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E6C84C" w:sz="2"/>
              <w:left w:val="single" w:color="D4A843" w:sz="12"/>
              <w:bottom w:val="single" w:color="E6C84C" w:sz="2"/>
              <w:right w:val="single" w:color="E6C84C" w:sz="2"/>
            </w:tcBorders>
            <w:shd w:fill="FFF8E1" w:color="auto" w:val="clear"/>
            <w:tcMar>
              <w:top w:type="dxa" w:w="120"/>
              <w:left w:type="dxa" w:w="200"/>
              <w:bottom w:type="dxa" w:w="120"/>
              <w:right w:type="dxa" w:w="200"/>
            </w:tcMar>
          </w:tcPr>
          <w:p>
            <w:r>
              <w:rPr>
                <w:rFonts w:ascii="Calibri" w:cs="Calibri" w:eastAsia="Calibri" w:hAnsi="Calibri"/>
                <w:i/>
                <w:iCs/>
                <w:color w:val="2D2D2D"/>
                <w:sz w:val="20"/>
                <w:szCs w:val="20"/>
              </w:rPr>
              <w:t xml:space="preserve">Watching others facilitate (even in different exercise formats) is how you internalize pacing, tone, and the difference between guiding and lecturing.</w:t>
            </w:r>
          </w:p>
        </w:tc>
      </w:tr>
    </w:tbl>
    <w:p>
      <w:pPr>
        <w:spacing w:after="200"/>
      </w:pPr>
    </w:p>
    <w:p>
      <w:pPr>
        <w:pStyle w:val="Heading2"/>
        <w:spacing w:after="120" w:before="240"/>
      </w:pPr>
      <w:r>
        <w:rPr>
          <w:rFonts w:ascii="Calibri" w:cs="Calibri" w:eastAsia="Calibri" w:hAnsi="Calibri"/>
          <w:b/>
          <w:bCs/>
          <w:color w:val="2E5C8A"/>
          <w:sz w:val="26"/>
          <w:szCs w:val="26"/>
        </w:rPr>
        <w:t xml:space="preserve">Phase 3: Practice (Days 8–14, ~12 hours)</w:t>
      </w:r>
    </w:p>
    <w:p>
      <w:pPr>
        <w:spacing w:after="120"/>
      </w:pPr>
      <w:r>
        <w:rPr>
          <w:rFonts w:ascii="Calibri" w:cs="Calibri" w:eastAsia="Calibri" w:hAnsi="Calibri"/>
          <w:b/>
          <w:bCs/>
          <w:i w:val="false"/>
          <w:iCs w:val="false"/>
          <w:color w:val="2D2D2D"/>
          <w:sz w:val="22"/>
          <w:szCs w:val="22"/>
        </w:rPr>
        <w:t xml:space="preserve">Internal Dry Run</w:t>
      </w:r>
    </w:p>
    <w:p>
      <w:pPr>
        <w:pStyle w:val="ListParagraph"/>
        <w:numPr>
          <w:ilvl w:val="0"/>
          <w:numId w:val="2"/>
        </w:numPr>
        <w:spacing w:after="60"/>
      </w:pPr>
      <w:r>
        <w:rPr>
          <w:rFonts w:ascii="Calibri" w:cs="Calibri" w:eastAsia="Calibri" w:hAnsi="Calibri"/>
          <w:color w:val="2D2D2D"/>
          <w:sz w:val="22"/>
          <w:szCs w:val="22"/>
        </w:rPr>
        <w:t xml:space="preserve">Facilitate a full Pulse Check on your own team (minimum 5–6 participants) using GS-1c (Ransomware .  General) or GS-3 (Key Person Loss). Have a colleague serve as observer using the Observer Kit.</w:t>
      </w:r>
    </w:p>
    <w:p>
      <w:pPr>
        <w:pStyle w:val="ListParagraph"/>
        <w:numPr>
          <w:ilvl w:val="0"/>
          <w:numId w:val="2"/>
        </w:numPr>
        <w:spacing w:after="60"/>
      </w:pPr>
      <w:r>
        <w:rPr>
          <w:rFonts w:ascii="Calibri" w:cs="Calibri" w:eastAsia="Calibri" w:hAnsi="Calibri"/>
          <w:color w:val="2D2D2D"/>
          <w:sz w:val="22"/>
          <w:szCs w:val="22"/>
        </w:rPr>
        <w:t xml:space="preserve">Run the complete exercise: welcome, ground rules, all 3 modules with injects, hot wash, closing.</w:t>
      </w:r>
    </w:p>
    <w:p>
      <w:pPr>
        <w:pStyle w:val="ListParagraph"/>
        <w:numPr>
          <w:ilvl w:val="0"/>
          <w:numId w:val="2"/>
        </w:numPr>
        <w:spacing w:after="60"/>
      </w:pPr>
      <w:r>
        <w:rPr>
          <w:rFonts w:ascii="Calibri" w:cs="Calibri" w:eastAsia="Calibri" w:hAnsi="Calibri"/>
          <w:color w:val="2D2D2D"/>
          <w:sz w:val="22"/>
          <w:szCs w:val="22"/>
        </w:rPr>
        <w:t xml:space="preserve">The observer provides honest feedback on: your pacing, your probe questions, whether you redirected vs lectured, whether you maintained the advisory boundary, and whether they could capture useful observations.</w:t>
      </w:r>
    </w:p>
    <w:p>
      <w:pPr>
        <w:spacing w:after="80"/>
      </w:pPr>
    </w:p>
    <w:p>
      <w:pPr>
        <w:spacing w:after="120"/>
      </w:pPr>
      <w:r>
        <w:rPr>
          <w:rFonts w:ascii="Calibri" w:cs="Calibri" w:eastAsia="Calibri" w:hAnsi="Calibri"/>
          <w:b/>
          <w:bCs/>
          <w:i w:val="false"/>
          <w:iCs w:val="false"/>
          <w:color w:val="2D2D2D"/>
          <w:sz w:val="22"/>
          <w:szCs w:val="22"/>
        </w:rPr>
        <w:t xml:space="preserve">Practice AAR</w:t>
      </w:r>
    </w:p>
    <w:p>
      <w:pPr>
        <w:pStyle w:val="ListParagraph"/>
        <w:numPr>
          <w:ilvl w:val="0"/>
          <w:numId w:val="2"/>
        </w:numPr>
        <w:spacing w:after="60"/>
      </w:pPr>
      <w:r>
        <w:rPr>
          <w:rFonts w:ascii="Calibri" w:cs="Calibri" w:eastAsia="Calibri" w:hAnsi="Calibri"/>
          <w:color w:val="2D2D2D"/>
          <w:sz w:val="22"/>
          <w:szCs w:val="22"/>
        </w:rPr>
        <w:t xml:space="preserve">Write a complete AAR from the dry run using the Pulse Check AAR Template. Calibrate every finding against Severity and Finding Standards. This is real practice AND a genuine test of your own organization's preparedness.</w:t>
      </w:r>
    </w:p>
    <w:p>
      <w:pPr>
        <w:spacing w:after="80"/>
      </w:pPr>
    </w:p>
    <w:p>
      <w:pPr>
        <w:spacing w:after="120"/>
      </w:pPr>
      <w:r>
        <w:rPr>
          <w:rFonts w:ascii="Calibri" w:cs="Calibri" w:eastAsia="Calibri" w:hAnsi="Calibri"/>
          <w:b/>
          <w:bCs/>
          <w:i w:val="false"/>
          <w:iCs w:val="false"/>
          <w:color w:val="2D2D2D"/>
          <w:sz w:val="22"/>
          <w:szCs w:val="22"/>
        </w:rPr>
        <w:t xml:space="preserve">Review the Practice AAR</w:t>
      </w:r>
    </w:p>
    <w:p>
      <w:pPr>
        <w:pStyle w:val="ListParagraph"/>
        <w:numPr>
          <w:ilvl w:val="0"/>
          <w:numId w:val="2"/>
        </w:numPr>
        <w:spacing w:after="60"/>
      </w:pPr>
      <w:r>
        <w:rPr>
          <w:rFonts w:ascii="Calibri" w:cs="Calibri" w:eastAsia="Calibri" w:hAnsi="Calibri"/>
          <w:color w:val="2D2D2D"/>
          <w:sz w:val="22"/>
          <w:szCs w:val="22"/>
        </w:rPr>
        <w:t xml:space="preserve">If you have a peer reviewer, use them. If not, review the AAR yourself against the quality standards checklist, and use an AI tool to check for structural issues, severity calibration consistency, and writing standard compliance. AI review catches mechanical problems; it won't catch whether your findings reflect what actually happened in the room.</w:t>
      </w:r>
    </w:p>
    <w:p>
      <w:pPr>
        <w:spacing w:after="8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E6C84C" w:sz="2"/>
              <w:left w:val="single" w:color="D4A843" w:sz="12"/>
              <w:bottom w:val="single" w:color="E6C84C" w:sz="2"/>
              <w:right w:val="single" w:color="E6C84C" w:sz="2"/>
            </w:tcBorders>
            <w:shd w:fill="FFF8E1" w:color="auto" w:val="clear"/>
            <w:tcMar>
              <w:top w:type="dxa" w:w="120"/>
              <w:left w:type="dxa" w:w="200"/>
              <w:bottom w:type="dxa" w:w="120"/>
              <w:right w:type="dxa" w:w="200"/>
            </w:tcMar>
          </w:tcPr>
          <w:p>
            <w:r>
              <w:rPr>
                <w:rFonts w:ascii="Calibri" w:cs="Calibri" w:eastAsia="Calibri" w:hAnsi="Calibri"/>
                <w:i/>
                <w:iCs/>
                <w:color w:val="2D2D2D"/>
                <w:sz w:val="20"/>
                <w:szCs w:val="20"/>
              </w:rPr>
              <w:t xml:space="preserve">The dry run pays twice. It gives you practice in a low-stakes environment, and it genuinely tests your own organization's preparedness. Document both the dry run and the practice AAR in the Facilitator Delivery Log.</w:t>
            </w:r>
          </w:p>
        </w:tc>
      </w:tr>
    </w:tbl>
    <w:p>
      <w:pPr>
        <w:spacing w:after="200"/>
      </w:pPr>
    </w:p>
    <w:p>
      <w:pPr>
        <w:pStyle w:val="Heading2"/>
        <w:spacing w:after="120" w:before="240"/>
      </w:pPr>
      <w:r>
        <w:rPr>
          <w:rFonts w:ascii="Calibri" w:cs="Calibri" w:eastAsia="Calibri" w:hAnsi="Calibri"/>
          <w:b/>
          <w:bCs/>
          <w:color w:val="2E5C8A"/>
          <w:sz w:val="26"/>
          <w:szCs w:val="26"/>
        </w:rPr>
        <w:t xml:space="preserve">Phase 4: First Client Engagement (Weeks 3–8)</w:t>
      </w:r>
    </w:p>
    <w:p>
      <w:pPr>
        <w:pStyle w:val="ListParagraph"/>
        <w:numPr>
          <w:ilvl w:val="0"/>
          <w:numId w:val="2"/>
        </w:numPr>
        <w:spacing w:after="60"/>
      </w:pPr>
      <w:r>
        <w:rPr>
          <w:rFonts w:ascii="Calibri" w:cs="Calibri" w:eastAsia="Calibri" w:hAnsi="Calibri"/>
          <w:color w:val="2D2D2D"/>
          <w:sz w:val="22"/>
          <w:szCs w:val="22"/>
        </w:rPr>
        <w:t xml:space="preserve">Your first client should ideally be an existing relationship ,  someone who trusts you and will give honest feedback.</w:t>
      </w:r>
    </w:p>
    <w:p>
      <w:pPr>
        <w:pStyle w:val="ListParagraph"/>
        <w:numPr>
          <w:ilvl w:val="0"/>
          <w:numId w:val="2"/>
        </w:numPr>
        <w:spacing w:after="60"/>
      </w:pPr>
      <w:r>
        <w:rPr>
          <w:rFonts w:ascii="Calibri" w:cs="Calibri" w:eastAsia="Calibri" w:hAnsi="Calibri"/>
          <w:color w:val="2D2D2D"/>
          <w:sz w:val="22"/>
          <w:szCs w:val="22"/>
        </w:rPr>
        <w:t xml:space="preserve">A discounted or free first engagement is acceptable. The experience is more valuable than the revenue at this stage.</w:t>
      </w:r>
    </w:p>
    <w:p>
      <w:pPr>
        <w:pStyle w:val="ListParagraph"/>
        <w:numPr>
          <w:ilvl w:val="0"/>
          <w:numId w:val="2"/>
        </w:numPr>
        <w:spacing w:after="60"/>
      </w:pPr>
      <w:r>
        <w:rPr>
          <w:rFonts w:ascii="Calibri" w:cs="Calibri" w:eastAsia="Calibri" w:hAnsi="Calibri"/>
          <w:color w:val="2D2D2D"/>
          <w:sz w:val="22"/>
          <w:szCs w:val="22"/>
        </w:rPr>
        <w:t xml:space="preserve">Follow the full engagement lifecycle: Plan → Deliver → Report → Close.</w:t>
      </w:r>
    </w:p>
    <w:p>
      <w:pPr>
        <w:pStyle w:val="ListParagraph"/>
        <w:numPr>
          <w:ilvl w:val="0"/>
          <w:numId w:val="2"/>
        </w:numPr>
        <w:spacing w:after="60"/>
      </w:pPr>
      <w:r>
        <w:rPr>
          <w:rFonts w:ascii="Calibri" w:cs="Calibri" w:eastAsia="Calibri" w:hAnsi="Calibri"/>
          <w:color w:val="2D2D2D"/>
          <w:sz w:val="22"/>
          <w:szCs w:val="22"/>
        </w:rPr>
        <w:t xml:space="preserve">After delivery, debrief honestly: what went well, what was awkward, what do you need to work on?</w:t>
      </w:r>
    </w:p>
    <w:p>
      <w:pPr>
        <w:pStyle w:val="ListParagraph"/>
        <w:numPr>
          <w:ilvl w:val="0"/>
          <w:numId w:val="2"/>
        </w:numPr>
        <w:spacing w:after="60"/>
      </w:pPr>
      <w:r>
        <w:rPr>
          <w:rFonts w:ascii="Calibri" w:cs="Calibri" w:eastAsia="Calibri" w:hAnsi="Calibri"/>
          <w:color w:val="2D2D2D"/>
          <w:sz w:val="22"/>
          <w:szCs w:val="22"/>
        </w:rPr>
        <w:t xml:space="preserve">Your first AAR will take longer than expected. Budget 2x the time the Operations Manual suggests.</w:t>
      </w:r>
    </w:p>
    <w:p>
      <w:pPr>
        <w:spacing w:after="8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E6C84C" w:sz="2"/>
              <w:left w:val="single" w:color="D4A843" w:sz="12"/>
              <w:bottom w:val="single" w:color="E6C84C" w:sz="2"/>
              <w:right w:val="single" w:color="E6C84C" w:sz="2"/>
            </w:tcBorders>
            <w:shd w:fill="FFF8E1" w:color="auto" w:val="clear"/>
            <w:tcMar>
              <w:top w:type="dxa" w:w="120"/>
              <w:left w:type="dxa" w:w="200"/>
              <w:bottom w:type="dxa" w:w="120"/>
              <w:right w:type="dxa" w:w="200"/>
            </w:tcMar>
          </w:tcPr>
          <w:p>
            <w:r>
              <w:rPr>
                <w:rFonts w:ascii="Calibri" w:cs="Calibri" w:eastAsia="Calibri" w:hAnsi="Calibri"/>
                <w:i/>
                <w:iCs/>
                <w:color w:val="2D2D2D"/>
                <w:sz w:val="20"/>
                <w:szCs w:val="20"/>
              </w:rPr>
              <w:t xml:space="preserve">Your first engagement will feel uncomfortable. That's normal. The scenario script, the run-of-show, and the ground rules carry more of the weight than you think. Your job is to keep the discussion moving and let the participants do the talking.</w:t>
            </w:r>
          </w:p>
        </w:tc>
      </w:tr>
    </w:tbl>
    <w:p>
      <w:pPr>
        <w:spacing w:after="200"/>
      </w:pPr>
    </w:p>
    <w:p>
      <w:r>
        <w:br w:type="page"/>
      </w:r>
    </w:p>
    <w:p>
      <w:pPr>
        <w:pStyle w:val="Heading1"/>
        <w:spacing w:after="200" w:before="360"/>
      </w:pPr>
      <w:r>
        <w:rPr>
          <w:rFonts w:ascii="Calibri" w:cs="Calibri" w:eastAsia="Calibri" w:hAnsi="Calibri"/>
          <w:b/>
          <w:bCs/>
          <w:color w:val="1B3A5C"/>
          <w:sz w:val="32"/>
          <w:szCs w:val="32"/>
        </w:rPr>
        <w:t xml:space="preserve">Section 6: Common First-Timer Mistakes</w:t>
      </w:r>
    </w:p>
    <w:p>
      <w:pPr>
        <w:spacing w:after="120"/>
      </w:pPr>
      <w:r>
        <w:rPr>
          <w:rFonts w:ascii="Calibri" w:cs="Calibri" w:eastAsia="Calibri" w:hAnsi="Calibri"/>
          <w:b w:val="false"/>
          <w:bCs w:val="false"/>
          <w:i w:val="false"/>
          <w:iCs w:val="false"/>
          <w:color w:val="2D2D2D"/>
          <w:sz w:val="22"/>
          <w:szCs w:val="22"/>
        </w:rPr>
        <w:t xml:space="preserve">Every new facilitator makes some of these mistakes. Knowing them in advance helps you catch yourself.</w:t>
      </w:r>
    </w:p>
    <w:p>
      <w:pPr>
        <w:spacing w:after="8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00"/>
        <w:gridCol w:w="3430"/>
        <w:gridCol w:w="5430"/>
      </w:tblGrid>
      <w:tr>
        <w:trPr>
          <w:tblHeader/>
        </w:trPr>
        <w:tc>
          <w:tcPr>
            <w:tcW w:type="dxa" w:w="500"/>
            <w:shd w:fill="1B3A5C" w:color="auto" w:val="clear"/>
            <w:tcMar>
              <w:top w:type="dxa" w:w="80"/>
              <w:left w:type="dxa" w:w="120"/>
              <w:bottom w:type="dxa" w:w="80"/>
              <w:right w:type="dxa" w:w="120"/>
            </w:tcMar>
          </w:tcPr>
          <w:p>
            <w:r>
              <w:rPr>
                <w:rFonts w:ascii="Calibri" w:cs="Calibri" w:eastAsia="Calibri" w:hAnsi="Calibri"/>
                <w:b/>
                <w:bCs/>
                <w:color w:val="FFFFFF"/>
                <w:sz w:val="20"/>
                <w:szCs w:val="20"/>
              </w:rPr>
              <w:t xml:space="preserve">#</w:t>
            </w:r>
          </w:p>
        </w:tc>
        <w:tc>
          <w:tcPr>
            <w:tcW w:type="dxa" w:w="3430"/>
            <w:shd w:fill="1B3A5C" w:color="auto" w:val="clear"/>
            <w:tcMar>
              <w:top w:type="dxa" w:w="80"/>
              <w:left w:type="dxa" w:w="120"/>
              <w:bottom w:type="dxa" w:w="80"/>
              <w:right w:type="dxa" w:w="120"/>
            </w:tcMar>
          </w:tcPr>
          <w:p>
            <w:r>
              <w:rPr>
                <w:rFonts w:ascii="Calibri" w:cs="Calibri" w:eastAsia="Calibri" w:hAnsi="Calibri"/>
                <w:b/>
                <w:bCs/>
                <w:color w:val="FFFFFF"/>
                <w:sz w:val="20"/>
                <w:szCs w:val="20"/>
              </w:rPr>
              <w:t xml:space="preserve">Mistake</w:t>
            </w:r>
          </w:p>
        </w:tc>
        <w:tc>
          <w:tcPr>
            <w:tcW w:type="dxa" w:w="5430"/>
            <w:shd w:fill="1B3A5C" w:color="auto" w:val="clear"/>
            <w:tcMar>
              <w:top w:type="dxa" w:w="80"/>
              <w:left w:type="dxa" w:w="120"/>
              <w:bottom w:type="dxa" w:w="80"/>
              <w:right w:type="dxa" w:w="120"/>
            </w:tcMar>
          </w:tcPr>
          <w:p>
            <w:r>
              <w:rPr>
                <w:rFonts w:ascii="Calibri" w:cs="Calibri" w:eastAsia="Calibri" w:hAnsi="Calibri"/>
                <w:b/>
                <w:bCs/>
                <w:color w:val="FFFFFF"/>
                <w:sz w:val="20"/>
                <w:szCs w:val="20"/>
              </w:rPr>
              <w:t xml:space="preserve">What to Do Instead</w:t>
            </w:r>
          </w:p>
        </w:tc>
      </w:tr>
      <w:tr>
        <w:tc>
          <w:tcPr>
            <w:tcW w:type="dxa" w:w="500"/>
            <w:shd w:fill="FFFFFF" w:color="auto" w:val="clear"/>
            <w:tcMar>
              <w:top w:type="dxa" w:w="80"/>
              <w:left w:type="dxa" w:w="120"/>
              <w:bottom w:type="dxa" w:w="80"/>
              <w:right w:type="dxa" w:w="120"/>
            </w:tcMar>
            <w:vAlign w:val="center"/>
          </w:tcPr>
          <w:p>
            <w:pPr>
              <w:jc w:val="center"/>
            </w:pPr>
            <w:r>
              <w:rPr>
                <w:rFonts w:ascii="Calibri" w:cs="Calibri" w:eastAsia="Calibri" w:hAnsi="Calibri"/>
                <w:b/>
                <w:bCs/>
                <w:color w:val="2E5C8A"/>
                <w:sz w:val="20"/>
                <w:szCs w:val="20"/>
              </w:rPr>
              <w:t xml:space="preserve">1</w:t>
            </w:r>
          </w:p>
        </w:tc>
        <w:tc>
          <w:tcPr>
            <w:tcW w:type="dxa" w:w="3430"/>
            <w:shd w:fill="FFFFFF" w:color="auto" w:val="clear"/>
            <w:tcMar>
              <w:top w:type="dxa" w:w="80"/>
              <w:left w:type="dxa" w:w="120"/>
              <w:bottom w:type="dxa" w:w="80"/>
              <w:right w:type="dxa" w:w="120"/>
            </w:tcMar>
          </w:tcPr>
          <w:p>
            <w:r>
              <w:rPr>
                <w:rFonts w:ascii="Calibri" w:cs="Calibri" w:eastAsia="Calibri" w:hAnsi="Calibri"/>
                <w:color w:val="2D2D2D"/>
                <w:sz w:val="20"/>
                <w:szCs w:val="20"/>
              </w:rPr>
              <w:t xml:space="preserve">Reading the scenario like a script</w:t>
            </w:r>
          </w:p>
        </w:tc>
        <w:tc>
          <w:tcPr>
            <w:tcW w:type="dxa" w:w="5430"/>
            <w:shd w:fill="FFFFFF" w:color="auto" w:val="clear"/>
            <w:tcMar>
              <w:top w:type="dxa" w:w="80"/>
              <w:left w:type="dxa" w:w="120"/>
              <w:bottom w:type="dxa" w:w="80"/>
              <w:right w:type="dxa" w:w="120"/>
            </w:tcMar>
          </w:tcPr>
          <w:p>
            <w:r>
              <w:rPr>
                <w:rFonts w:ascii="Calibri" w:cs="Calibri" w:eastAsia="Calibri" w:hAnsi="Calibri"/>
                <w:color w:val="2D2D2D"/>
                <w:sz w:val="20"/>
                <w:szCs w:val="20"/>
              </w:rPr>
              <w:t xml:space="preserve">Internalize the narrative and tell it conversationally. Know the key beats; don't read paragraphs verbatim.</w:t>
            </w:r>
          </w:p>
        </w:tc>
      </w:tr>
      <w:tr>
        <w:tc>
          <w:tcPr>
            <w:tcW w:type="dxa" w:w="500"/>
            <w:shd w:fill="F5F5F5" w:color="auto" w:val="clear"/>
            <w:tcMar>
              <w:top w:type="dxa" w:w="80"/>
              <w:left w:type="dxa" w:w="120"/>
              <w:bottom w:type="dxa" w:w="80"/>
              <w:right w:type="dxa" w:w="120"/>
            </w:tcMar>
            <w:vAlign w:val="center"/>
          </w:tcPr>
          <w:p>
            <w:pPr>
              <w:jc w:val="center"/>
            </w:pPr>
            <w:r>
              <w:rPr>
                <w:rFonts w:ascii="Calibri" w:cs="Calibri" w:eastAsia="Calibri" w:hAnsi="Calibri"/>
                <w:b/>
                <w:bCs/>
                <w:color w:val="2E5C8A"/>
                <w:sz w:val="20"/>
                <w:szCs w:val="20"/>
              </w:rPr>
              <w:t xml:space="preserve">2</w:t>
            </w:r>
          </w:p>
        </w:tc>
        <w:tc>
          <w:tcPr>
            <w:tcW w:type="dxa" w:w="3430"/>
            <w:shd w:fill="F5F5F5" w:color="auto" w:val="clear"/>
            <w:tcMar>
              <w:top w:type="dxa" w:w="80"/>
              <w:left w:type="dxa" w:w="120"/>
              <w:bottom w:type="dxa" w:w="80"/>
              <w:right w:type="dxa" w:w="120"/>
            </w:tcMar>
          </w:tcPr>
          <w:p>
            <w:r>
              <w:rPr>
                <w:rFonts w:ascii="Calibri" w:cs="Calibri" w:eastAsia="Calibri" w:hAnsi="Calibri"/>
                <w:color w:val="2D2D2D"/>
                <w:sz w:val="20"/>
                <w:szCs w:val="20"/>
              </w:rPr>
              <w:t xml:space="preserve">Answering questions instead of redirecting</w:t>
            </w:r>
          </w:p>
        </w:tc>
        <w:tc>
          <w:tcPr>
            <w:tcW w:type="dxa" w:w="5430"/>
            <w:shd w:fill="F5F5F5" w:color="auto" w:val="clear"/>
            <w:tcMar>
              <w:top w:type="dxa" w:w="80"/>
              <w:left w:type="dxa" w:w="120"/>
              <w:bottom w:type="dxa" w:w="80"/>
              <w:right w:type="dxa" w:w="120"/>
            </w:tcMar>
          </w:tcPr>
          <w:p>
            <w:r>
              <w:rPr>
                <w:rFonts w:ascii="Calibri" w:cs="Calibri" w:eastAsia="Calibri" w:hAnsi="Calibri"/>
                <w:color w:val="2D2D2D"/>
                <w:sz w:val="20"/>
                <w:szCs w:val="20"/>
              </w:rPr>
              <w:t xml:space="preserve">Your job is to ask "what would your organization do?" not to provide the answer. When participants look to you for the right answer, reflect it back to the room.</w:t>
            </w:r>
          </w:p>
        </w:tc>
      </w:tr>
      <w:tr>
        <w:tc>
          <w:tcPr>
            <w:tcW w:type="dxa" w:w="500"/>
            <w:shd w:fill="FFFFFF" w:color="auto" w:val="clear"/>
            <w:tcMar>
              <w:top w:type="dxa" w:w="80"/>
              <w:left w:type="dxa" w:w="120"/>
              <w:bottom w:type="dxa" w:w="80"/>
              <w:right w:type="dxa" w:w="120"/>
            </w:tcMar>
            <w:vAlign w:val="center"/>
          </w:tcPr>
          <w:p>
            <w:pPr>
              <w:jc w:val="center"/>
            </w:pPr>
            <w:r>
              <w:rPr>
                <w:rFonts w:ascii="Calibri" w:cs="Calibri" w:eastAsia="Calibri" w:hAnsi="Calibri"/>
                <w:b/>
                <w:bCs/>
                <w:color w:val="2E5C8A"/>
                <w:sz w:val="20"/>
                <w:szCs w:val="20"/>
              </w:rPr>
              <w:t xml:space="preserve">3</w:t>
            </w:r>
          </w:p>
        </w:tc>
        <w:tc>
          <w:tcPr>
            <w:tcW w:type="dxa" w:w="3430"/>
            <w:shd w:fill="FFFFFF" w:color="auto" w:val="clear"/>
            <w:tcMar>
              <w:top w:type="dxa" w:w="80"/>
              <w:left w:type="dxa" w:w="120"/>
              <w:bottom w:type="dxa" w:w="80"/>
              <w:right w:type="dxa" w:w="120"/>
            </w:tcMar>
          </w:tcPr>
          <w:p>
            <w:r>
              <w:rPr>
                <w:rFonts w:ascii="Calibri" w:cs="Calibri" w:eastAsia="Calibri" w:hAnsi="Calibri"/>
                <w:color w:val="2D2D2D"/>
                <w:sz w:val="20"/>
                <w:szCs w:val="20"/>
              </w:rPr>
              <w:t xml:space="preserve">Letting one person dominate</w:t>
            </w:r>
          </w:p>
        </w:tc>
        <w:tc>
          <w:tcPr>
            <w:tcW w:type="dxa" w:w="5430"/>
            <w:shd w:fill="FFFFFF" w:color="auto" w:val="clear"/>
            <w:tcMar>
              <w:top w:type="dxa" w:w="80"/>
              <w:left w:type="dxa" w:w="120"/>
              <w:bottom w:type="dxa" w:w="80"/>
              <w:right w:type="dxa" w:w="120"/>
            </w:tcMar>
          </w:tcPr>
          <w:p>
            <w:r>
              <w:rPr>
                <w:rFonts w:ascii="Calibri" w:cs="Calibri" w:eastAsia="Calibri" w:hAnsi="Calibri"/>
                <w:color w:val="2D2D2D"/>
                <w:sz w:val="20"/>
                <w:szCs w:val="20"/>
              </w:rPr>
              <w:t xml:space="preserve">"That's helpful .  I want to hear from others too. [Name], how would this affect your team?"</w:t>
            </w:r>
          </w:p>
        </w:tc>
      </w:tr>
      <w:tr>
        <w:tc>
          <w:tcPr>
            <w:tcW w:type="dxa" w:w="500"/>
            <w:shd w:fill="F5F5F5" w:color="auto" w:val="clear"/>
            <w:tcMar>
              <w:top w:type="dxa" w:w="80"/>
              <w:left w:type="dxa" w:w="120"/>
              <w:bottom w:type="dxa" w:w="80"/>
              <w:right w:type="dxa" w:w="120"/>
            </w:tcMar>
            <w:vAlign w:val="center"/>
          </w:tcPr>
          <w:p>
            <w:pPr>
              <w:jc w:val="center"/>
            </w:pPr>
            <w:r>
              <w:rPr>
                <w:rFonts w:ascii="Calibri" w:cs="Calibri" w:eastAsia="Calibri" w:hAnsi="Calibri"/>
                <w:b/>
                <w:bCs/>
                <w:color w:val="2E5C8A"/>
                <w:sz w:val="20"/>
                <w:szCs w:val="20"/>
              </w:rPr>
              <w:t xml:space="preserve">4</w:t>
            </w:r>
          </w:p>
        </w:tc>
        <w:tc>
          <w:tcPr>
            <w:tcW w:type="dxa" w:w="3430"/>
            <w:shd w:fill="F5F5F5" w:color="auto" w:val="clear"/>
            <w:tcMar>
              <w:top w:type="dxa" w:w="80"/>
              <w:left w:type="dxa" w:w="120"/>
              <w:bottom w:type="dxa" w:w="80"/>
              <w:right w:type="dxa" w:w="120"/>
            </w:tcMar>
          </w:tcPr>
          <w:p>
            <w:r>
              <w:rPr>
                <w:rFonts w:ascii="Calibri" w:cs="Calibri" w:eastAsia="Calibri" w:hAnsi="Calibri"/>
                <w:color w:val="2D2D2D"/>
                <w:sz w:val="20"/>
                <w:szCs w:val="20"/>
              </w:rPr>
              <w:t xml:space="preserve">Skipping the hot wash</w:t>
            </w:r>
          </w:p>
        </w:tc>
        <w:tc>
          <w:tcPr>
            <w:tcW w:type="dxa" w:w="5430"/>
            <w:shd w:fill="F5F5F5" w:color="auto" w:val="clear"/>
            <w:tcMar>
              <w:top w:type="dxa" w:w="80"/>
              <w:left w:type="dxa" w:w="120"/>
              <w:bottom w:type="dxa" w:w="80"/>
              <w:right w:type="dxa" w:w="120"/>
            </w:tcMar>
          </w:tcPr>
          <w:p>
            <w:r>
              <w:rPr>
                <w:rFonts w:ascii="Calibri" w:cs="Calibri" w:eastAsia="Calibri" w:hAnsi="Calibri"/>
                <w:color w:val="2D2D2D"/>
                <w:sz w:val="20"/>
                <w:szCs w:val="20"/>
              </w:rPr>
              <w:t xml:space="preserve">The hot wash is where participants process what just happened. It's not optional, even if you're running long. Cut a module before you cut the hot wash.</w:t>
            </w:r>
          </w:p>
        </w:tc>
      </w:tr>
      <w:tr>
        <w:tc>
          <w:tcPr>
            <w:tcW w:type="dxa" w:w="500"/>
            <w:shd w:fill="FFFFFF" w:color="auto" w:val="clear"/>
            <w:tcMar>
              <w:top w:type="dxa" w:w="80"/>
              <w:left w:type="dxa" w:w="120"/>
              <w:bottom w:type="dxa" w:w="80"/>
              <w:right w:type="dxa" w:w="120"/>
            </w:tcMar>
            <w:vAlign w:val="center"/>
          </w:tcPr>
          <w:p>
            <w:pPr>
              <w:jc w:val="center"/>
            </w:pPr>
            <w:r>
              <w:rPr>
                <w:rFonts w:ascii="Calibri" w:cs="Calibri" w:eastAsia="Calibri" w:hAnsi="Calibri"/>
                <w:b/>
                <w:bCs/>
                <w:color w:val="2E5C8A"/>
                <w:sz w:val="20"/>
                <w:szCs w:val="20"/>
              </w:rPr>
              <w:t xml:space="preserve">5</w:t>
            </w:r>
          </w:p>
        </w:tc>
        <w:tc>
          <w:tcPr>
            <w:tcW w:type="dxa" w:w="3430"/>
            <w:shd w:fill="FFFFFF" w:color="auto" w:val="clear"/>
            <w:tcMar>
              <w:top w:type="dxa" w:w="80"/>
              <w:left w:type="dxa" w:w="120"/>
              <w:bottom w:type="dxa" w:w="80"/>
              <w:right w:type="dxa" w:w="120"/>
            </w:tcMar>
          </w:tcPr>
          <w:p>
            <w:r>
              <w:rPr>
                <w:rFonts w:ascii="Calibri" w:cs="Calibri" w:eastAsia="Calibri" w:hAnsi="Calibri"/>
                <w:color w:val="2D2D2D"/>
                <w:sz w:val="20"/>
                <w:szCs w:val="20"/>
              </w:rPr>
              <w:t xml:space="preserve">Writing findings about individuals</w:t>
            </w:r>
          </w:p>
        </w:tc>
        <w:tc>
          <w:tcPr>
            <w:tcW w:type="dxa" w:w="5430"/>
            <w:shd w:fill="FFFFFF" w:color="auto" w:val="clear"/>
            <w:tcMar>
              <w:top w:type="dxa" w:w="80"/>
              <w:left w:type="dxa" w:w="120"/>
              <w:bottom w:type="dxa" w:w="80"/>
              <w:right w:type="dxa" w:w="120"/>
            </w:tcMar>
          </w:tcPr>
          <w:p>
            <w:r>
              <w:rPr>
                <w:rFonts w:ascii="Calibri" w:cs="Calibri" w:eastAsia="Calibri" w:hAnsi="Calibri"/>
                <w:color w:val="2D2D2D"/>
                <w:sz w:val="20"/>
                <w:szCs w:val="20"/>
              </w:rPr>
              <w:t xml:space="preserve">Every finding is organizational. "The team was unable to identify the escalation threshold" ,  never "Sarah didn't know the threshold."</w:t>
            </w:r>
          </w:p>
        </w:tc>
      </w:tr>
      <w:tr>
        <w:tc>
          <w:tcPr>
            <w:tcW w:type="dxa" w:w="500"/>
            <w:shd w:fill="F5F5F5" w:color="auto" w:val="clear"/>
            <w:tcMar>
              <w:top w:type="dxa" w:w="80"/>
              <w:left w:type="dxa" w:w="120"/>
              <w:bottom w:type="dxa" w:w="80"/>
              <w:right w:type="dxa" w:w="120"/>
            </w:tcMar>
            <w:vAlign w:val="center"/>
          </w:tcPr>
          <w:p>
            <w:pPr>
              <w:jc w:val="center"/>
            </w:pPr>
            <w:r>
              <w:rPr>
                <w:rFonts w:ascii="Calibri" w:cs="Calibri" w:eastAsia="Calibri" w:hAnsi="Calibri"/>
                <w:b/>
                <w:bCs/>
                <w:color w:val="2E5C8A"/>
                <w:sz w:val="20"/>
                <w:szCs w:val="20"/>
              </w:rPr>
              <w:t xml:space="preserve">6</w:t>
            </w:r>
          </w:p>
        </w:tc>
        <w:tc>
          <w:tcPr>
            <w:tcW w:type="dxa" w:w="3430"/>
            <w:shd w:fill="F5F5F5" w:color="auto" w:val="clear"/>
            <w:tcMar>
              <w:top w:type="dxa" w:w="80"/>
              <w:left w:type="dxa" w:w="120"/>
              <w:bottom w:type="dxa" w:w="80"/>
              <w:right w:type="dxa" w:w="120"/>
            </w:tcMar>
          </w:tcPr>
          <w:p>
            <w:r>
              <w:rPr>
                <w:rFonts w:ascii="Calibri" w:cs="Calibri" w:eastAsia="Calibri" w:hAnsi="Calibri"/>
                <w:color w:val="2D2D2D"/>
                <w:sz w:val="20"/>
                <w:szCs w:val="20"/>
              </w:rPr>
              <w:t xml:space="preserve">Selling from the exercise floor</w:t>
            </w:r>
          </w:p>
        </w:tc>
        <w:tc>
          <w:tcPr>
            <w:tcW w:type="dxa" w:w="5430"/>
            <w:shd w:fill="F5F5F5" w:color="auto" w:val="clear"/>
            <w:tcMar>
              <w:top w:type="dxa" w:w="80"/>
              <w:left w:type="dxa" w:w="120"/>
              <w:bottom w:type="dxa" w:w="80"/>
              <w:right w:type="dxa" w:w="120"/>
            </w:tcMar>
          </w:tcPr>
          <w:p>
            <w:r>
              <w:rPr>
                <w:rFonts w:ascii="Calibri" w:cs="Calibri" w:eastAsia="Calibri" w:hAnsi="Calibri"/>
                <w:color w:val="2D2D2D"/>
                <w:sz w:val="20"/>
                <w:szCs w:val="20"/>
              </w:rPr>
              <w:t xml:space="preserve">When a gap maps to your services, document it as a finding. The advisory conversation happens after the report is delivered, never during the exercise.</w:t>
            </w:r>
          </w:p>
        </w:tc>
      </w:tr>
      <w:tr>
        <w:tc>
          <w:tcPr>
            <w:tcW w:type="dxa" w:w="500"/>
            <w:shd w:fill="FFFFFF" w:color="auto" w:val="clear"/>
            <w:tcMar>
              <w:top w:type="dxa" w:w="80"/>
              <w:left w:type="dxa" w:w="120"/>
              <w:bottom w:type="dxa" w:w="80"/>
              <w:right w:type="dxa" w:w="120"/>
            </w:tcMar>
            <w:vAlign w:val="center"/>
          </w:tcPr>
          <w:p>
            <w:pPr>
              <w:jc w:val="center"/>
            </w:pPr>
            <w:r>
              <w:rPr>
                <w:rFonts w:ascii="Calibri" w:cs="Calibri" w:eastAsia="Calibri" w:hAnsi="Calibri"/>
                <w:b/>
                <w:bCs/>
                <w:color w:val="2E5C8A"/>
                <w:sz w:val="20"/>
                <w:szCs w:val="20"/>
              </w:rPr>
              <w:t xml:space="preserve">7</w:t>
            </w:r>
          </w:p>
        </w:tc>
        <w:tc>
          <w:tcPr>
            <w:tcW w:type="dxa" w:w="3430"/>
            <w:shd w:fill="FFFFFF" w:color="auto" w:val="clear"/>
            <w:tcMar>
              <w:top w:type="dxa" w:w="80"/>
              <w:left w:type="dxa" w:w="120"/>
              <w:bottom w:type="dxa" w:w="80"/>
              <w:right w:type="dxa" w:w="120"/>
            </w:tcMar>
          </w:tcPr>
          <w:p>
            <w:r>
              <w:rPr>
                <w:rFonts w:ascii="Calibri" w:cs="Calibri" w:eastAsia="Calibri" w:hAnsi="Calibri"/>
                <w:color w:val="2D2D2D"/>
                <w:sz w:val="20"/>
                <w:szCs w:val="20"/>
              </w:rPr>
              <w:t xml:space="preserve">Rushing through injects</w:t>
            </w:r>
          </w:p>
        </w:tc>
        <w:tc>
          <w:tcPr>
            <w:tcW w:type="dxa" w:w="5430"/>
            <w:shd w:fill="FFFFFF" w:color="auto" w:val="clear"/>
            <w:tcMar>
              <w:top w:type="dxa" w:w="80"/>
              <w:left w:type="dxa" w:w="120"/>
              <w:bottom w:type="dxa" w:w="80"/>
              <w:right w:type="dxa" w:w="120"/>
            </w:tcMar>
          </w:tcPr>
          <w:p>
            <w:r>
              <w:rPr>
                <w:rFonts w:ascii="Calibri" w:cs="Calibri" w:eastAsia="Calibri" w:hAnsi="Calibri"/>
                <w:color w:val="2D2D2D"/>
                <w:sz w:val="20"/>
                <w:szCs w:val="20"/>
              </w:rPr>
              <w:t xml:space="preserve">Each inject is a decision point. Give participants time to react, discuss, and disagree before moving on. Silence after an inject is productive, not awkward.</w:t>
            </w:r>
          </w:p>
        </w:tc>
      </w:tr>
      <w:tr>
        <w:tc>
          <w:tcPr>
            <w:tcW w:type="dxa" w:w="500"/>
            <w:shd w:fill="F5F5F5" w:color="auto" w:val="clear"/>
            <w:tcMar>
              <w:top w:type="dxa" w:w="80"/>
              <w:left w:type="dxa" w:w="120"/>
              <w:bottom w:type="dxa" w:w="80"/>
              <w:right w:type="dxa" w:w="120"/>
            </w:tcMar>
            <w:vAlign w:val="center"/>
          </w:tcPr>
          <w:p>
            <w:pPr>
              <w:jc w:val="center"/>
            </w:pPr>
            <w:r>
              <w:rPr>
                <w:rFonts w:ascii="Calibri" w:cs="Calibri" w:eastAsia="Calibri" w:hAnsi="Calibri"/>
                <w:b/>
                <w:bCs/>
                <w:color w:val="2E5C8A"/>
                <w:sz w:val="20"/>
                <w:szCs w:val="20"/>
              </w:rPr>
              <w:t xml:space="preserve">8</w:t>
            </w:r>
          </w:p>
        </w:tc>
        <w:tc>
          <w:tcPr>
            <w:tcW w:type="dxa" w:w="3430"/>
            <w:shd w:fill="F5F5F5" w:color="auto" w:val="clear"/>
            <w:tcMar>
              <w:top w:type="dxa" w:w="80"/>
              <w:left w:type="dxa" w:w="120"/>
              <w:bottom w:type="dxa" w:w="80"/>
              <w:right w:type="dxa" w:w="120"/>
            </w:tcMar>
          </w:tcPr>
          <w:p>
            <w:r>
              <w:rPr>
                <w:rFonts w:ascii="Calibri" w:cs="Calibri" w:eastAsia="Calibri" w:hAnsi="Calibri"/>
                <w:color w:val="2D2D2D"/>
                <w:sz w:val="20"/>
                <w:szCs w:val="20"/>
              </w:rPr>
              <w:t xml:space="preserve">Ignoring the observer</w:t>
            </w:r>
          </w:p>
        </w:tc>
        <w:tc>
          <w:tcPr>
            <w:tcW w:type="dxa" w:w="5430"/>
            <w:shd w:fill="F5F5F5" w:color="auto" w:val="clear"/>
            <w:tcMar>
              <w:top w:type="dxa" w:w="80"/>
              <w:left w:type="dxa" w:w="120"/>
              <w:bottom w:type="dxa" w:w="80"/>
              <w:right w:type="dxa" w:w="120"/>
            </w:tcMar>
          </w:tcPr>
          <w:p>
            <w:r>
              <w:rPr>
                <w:rFonts w:ascii="Calibri" w:cs="Calibri" w:eastAsia="Calibri" w:hAnsi="Calibri"/>
                <w:color w:val="2D2D2D"/>
                <w:sz w:val="20"/>
                <w:szCs w:val="20"/>
              </w:rPr>
              <w:t xml:space="preserve">Check in with your observer at module breaks. They see things you miss while facilitating. Their notes are your primary data source for the AAR.</w:t>
            </w:r>
          </w:p>
        </w:tc>
      </w:tr>
    </w:tbl>
    <w:p>
      <w:pPr>
        <w:spacing w:after="200"/>
      </w:pPr>
    </w:p>
    <w:p>
      <w:pPr>
        <w:pStyle w:val="Heading1"/>
        <w:spacing w:after="200" w:before="360"/>
      </w:pPr>
      <w:r>
        <w:rPr>
          <w:rFonts w:ascii="Calibri" w:cs="Calibri" w:eastAsia="Calibri" w:hAnsi="Calibri"/>
          <w:b/>
          <w:bCs/>
          <w:color w:val="1B3A5C"/>
          <w:sz w:val="32"/>
          <w:szCs w:val="32"/>
        </w:rPr>
        <w:t xml:space="preserve">Section 7: Ongoing Development</w:t>
      </w:r>
    </w:p>
    <w:p>
      <w:pPr>
        <w:pStyle w:val="ListParagraph"/>
        <w:numPr>
          <w:ilvl w:val="0"/>
          <w:numId w:val="2"/>
        </w:numPr>
        <w:spacing w:after="60"/>
      </w:pPr>
      <w:r>
        <w:rPr>
          <w:rFonts w:ascii="Calibri" w:cs="Calibri" w:eastAsia="Calibri" w:hAnsi="Calibri"/>
          <w:color w:val="2D2D2D"/>
          <w:sz w:val="22"/>
          <w:szCs w:val="22"/>
        </w:rPr>
        <w:t xml:space="preserve">After every engagement, review lessons learned and update your approach.</w:t>
      </w:r>
    </w:p>
    <w:p>
      <w:pPr>
        <w:pStyle w:val="ListParagraph"/>
        <w:numPr>
          <w:ilvl w:val="0"/>
          <w:numId w:val="2"/>
        </w:numPr>
        <w:spacing w:after="60"/>
      </w:pPr>
      <w:r>
        <w:rPr>
          <w:rFonts w:ascii="Calibri" w:cs="Calibri" w:eastAsia="Calibri" w:hAnsi="Calibri"/>
          <w:color w:val="2D2D2D"/>
          <w:sz w:val="22"/>
          <w:szCs w:val="22"/>
        </w:rPr>
        <w:t xml:space="preserve">Read new scenario packages to expand your range.</w:t>
      </w:r>
    </w:p>
    <w:p>
      <w:pPr>
        <w:pStyle w:val="ListParagraph"/>
        <w:numPr>
          <w:ilvl w:val="0"/>
          <w:numId w:val="2"/>
        </w:numPr>
        <w:spacing w:after="60"/>
      </w:pPr>
      <w:r>
        <w:rPr>
          <w:rFonts w:ascii="Calibri" w:cs="Calibri" w:eastAsia="Calibri" w:hAnsi="Calibri"/>
          <w:color w:val="2D2D2D"/>
          <w:sz w:val="22"/>
          <w:szCs w:val="22"/>
        </w:rPr>
        <w:t xml:space="preserve">Build a peer review relationship with another practitioner as your practice grows.</w:t>
      </w:r>
    </w:p>
    <w:p>
      <w:pPr>
        <w:pStyle w:val="ListParagraph"/>
        <w:numPr>
          <w:ilvl w:val="0"/>
          <w:numId w:val="2"/>
        </w:numPr>
        <w:spacing w:after="60"/>
      </w:pPr>
      <w:r>
        <w:rPr>
          <w:rFonts w:ascii="Calibri" w:cs="Calibri" w:eastAsia="Calibri" w:hAnsi="Calibri"/>
          <w:color w:val="2D2D2D"/>
          <w:sz w:val="22"/>
          <w:szCs w:val="22"/>
        </w:rPr>
        <w:t xml:space="preserve">Stay current with emerging threats and regulatory changes.</w:t>
      </w:r>
    </w:p>
    <w:p>
      <w:pPr>
        <w:pStyle w:val="ListParagraph"/>
        <w:numPr>
          <w:ilvl w:val="0"/>
          <w:numId w:val="2"/>
        </w:numPr>
        <w:spacing w:after="60"/>
      </w:pPr>
      <w:r>
        <w:rPr>
          <w:rFonts w:ascii="Calibri" w:cs="Calibri" w:eastAsia="Calibri" w:hAnsi="Calibri"/>
          <w:color w:val="2D2D2D"/>
          <w:sz w:val="22"/>
          <w:szCs w:val="22"/>
        </w:rPr>
        <w:t xml:space="preserve">Consider FEMA IS-120.c, IS-130, and eventually the Master Exercise Practitioner Program (MEPP) for deeper methodological grounding ,  these are valuable investments as your practice matures, not prerequisites for starting.</w:t>
      </w:r>
    </w:p>
    <w:p>
      <w:pPr>
        <w:spacing w:after="200"/>
      </w:pPr>
    </w:p>
    <w:p>
      <w:pPr>
        <w:pStyle w:val="Heading1"/>
        <w:spacing w:after="200" w:before="360"/>
      </w:pPr>
      <w:r>
        <w:rPr>
          <w:rFonts w:ascii="Calibri" w:cs="Calibri" w:eastAsia="Calibri" w:hAnsi="Calibri"/>
          <w:b/>
          <w:bCs/>
          <w:color w:val="1B3A5C"/>
          <w:sz w:val="32"/>
          <w:szCs w:val="32"/>
        </w:rPr>
        <w:t xml:space="preserve">Section 8: Readiness Self-Assessment</w:t>
      </w:r>
    </w:p>
    <w:p>
      <w:pPr>
        <w:spacing w:after="120"/>
      </w:pPr>
      <w:r>
        <w:rPr>
          <w:rFonts w:ascii="Calibri" w:cs="Calibri" w:eastAsia="Calibri" w:hAnsi="Calibri"/>
          <w:b w:val="false"/>
          <w:bCs w:val="false"/>
          <w:i w:val="false"/>
          <w:iCs w:val="false"/>
          <w:color w:val="2D2D2D"/>
          <w:sz w:val="22"/>
          <w:szCs w:val="22"/>
        </w:rPr>
        <w:t xml:space="preserve">Complete this checklist before your first client engagement. Be honest with yourself about what you've done and what you haven't.</w:t>
      </w:r>
    </w:p>
    <w:p>
      <w:pPr>
        <w:spacing w:after="80"/>
      </w:pPr>
    </w:p>
    <w:p>
      <w:pPr>
        <w:spacing w:after="80"/>
        <w:ind w:left="360"/>
      </w:pPr>
      <w:r>
        <w:rPr>
          <w:rFonts w:ascii="Segoe UI Symbol" w:cs="Segoe UI Symbol" w:eastAsia="Segoe UI Symbol" w:hAnsi="Segoe UI Symbol"/>
          <w:color w:val="2E5C8A"/>
          <w:sz w:val="24"/>
          <w:szCs w:val="24"/>
        </w:rPr>
        <w:t xml:space="preserve">☐  </w:t>
      </w:r>
      <w:r>
        <w:rPr>
          <w:rFonts w:ascii="Calibri" w:cs="Calibri" w:eastAsia="Calibri" w:hAnsi="Calibri"/>
          <w:color w:val="2D2D2D"/>
          <w:sz w:val="22"/>
          <w:szCs w:val="22"/>
        </w:rPr>
        <w:t xml:space="preserve">I have read the Program Guide, Facilitator Guide, Severity and Finding Standards, Sample Findings Library, and at least 2 scenario packages</w:t>
      </w:r>
    </w:p>
    <w:p>
      <w:pPr>
        <w:spacing w:after="80"/>
        <w:ind w:left="360"/>
      </w:pPr>
      <w:r>
        <w:rPr>
          <w:rFonts w:ascii="Segoe UI Symbol" w:cs="Segoe UI Symbol" w:eastAsia="Segoe UI Symbol" w:hAnsi="Segoe UI Symbol"/>
          <w:color w:val="2E5C8A"/>
          <w:sz w:val="24"/>
          <w:szCs w:val="24"/>
        </w:rPr>
        <w:t xml:space="preserve">☐  </w:t>
      </w:r>
      <w:r>
        <w:rPr>
          <w:rFonts w:ascii="Calibri" w:cs="Calibri" w:eastAsia="Calibri" w:hAnsi="Calibri"/>
          <w:color w:val="2D2D2D"/>
          <w:sz w:val="22"/>
          <w:szCs w:val="22"/>
        </w:rPr>
        <w:t xml:space="preserve">I have watched at least one recorded tabletop exercise facilitation</w:t>
      </w:r>
    </w:p>
    <w:p>
      <w:pPr>
        <w:spacing w:after="80"/>
        <w:ind w:left="360"/>
      </w:pPr>
      <w:r>
        <w:rPr>
          <w:rFonts w:ascii="Segoe UI Symbol" w:cs="Segoe UI Symbol" w:eastAsia="Segoe UI Symbol" w:hAnsi="Segoe UI Symbol"/>
          <w:color w:val="2E5C8A"/>
          <w:sz w:val="24"/>
          <w:szCs w:val="24"/>
        </w:rPr>
        <w:t xml:space="preserve">☐  </w:t>
      </w:r>
      <w:r>
        <w:rPr>
          <w:rFonts w:ascii="Calibri" w:cs="Calibri" w:eastAsia="Calibri" w:hAnsi="Calibri"/>
          <w:color w:val="2D2D2D"/>
          <w:sz w:val="22"/>
          <w:szCs w:val="22"/>
        </w:rPr>
        <w:t xml:space="preserve">I have facilitated an internal dry run with a colleague as observer</w:t>
      </w:r>
    </w:p>
    <w:p>
      <w:pPr>
        <w:spacing w:after="80"/>
        <w:ind w:left="360"/>
      </w:pPr>
      <w:r>
        <w:rPr>
          <w:rFonts w:ascii="Segoe UI Symbol" w:cs="Segoe UI Symbol" w:eastAsia="Segoe UI Symbol" w:hAnsi="Segoe UI Symbol"/>
          <w:color w:val="2E5C8A"/>
          <w:sz w:val="24"/>
          <w:szCs w:val="24"/>
        </w:rPr>
        <w:t xml:space="preserve">☐  </w:t>
      </w:r>
      <w:r>
        <w:rPr>
          <w:rFonts w:ascii="Calibri" w:cs="Calibri" w:eastAsia="Calibri" w:hAnsi="Calibri"/>
          <w:color w:val="2D2D2D"/>
          <w:sz w:val="22"/>
          <w:szCs w:val="22"/>
        </w:rPr>
        <w:t xml:space="preserve">I have written a practice AAR and reviewed it against the quality standards</w:t>
      </w:r>
    </w:p>
    <w:p>
      <w:pPr>
        <w:spacing w:after="80"/>
        <w:ind w:left="360"/>
      </w:pPr>
      <w:r>
        <w:rPr>
          <w:rFonts w:ascii="Segoe UI Symbol" w:cs="Segoe UI Symbol" w:eastAsia="Segoe UI Symbol" w:hAnsi="Segoe UI Symbol"/>
          <w:color w:val="2E5C8A"/>
          <w:sz w:val="24"/>
          <w:szCs w:val="24"/>
        </w:rPr>
        <w:t xml:space="preserve">☐  </w:t>
      </w:r>
      <w:r>
        <w:rPr>
          <w:rFonts w:ascii="Calibri" w:cs="Calibri" w:eastAsia="Calibri" w:hAnsi="Calibri"/>
          <w:color w:val="2D2D2D"/>
          <w:sz w:val="22"/>
          <w:szCs w:val="22"/>
        </w:rPr>
        <w:t xml:space="preserve">I can explain the four-part finding structure and the five severity levels without looking them up</w:t>
      </w:r>
    </w:p>
    <w:p>
      <w:pPr>
        <w:spacing w:after="80"/>
        <w:ind w:left="360"/>
      </w:pPr>
      <w:r>
        <w:rPr>
          <w:rFonts w:ascii="Segoe UI Symbol" w:cs="Segoe UI Symbol" w:eastAsia="Segoe UI Symbol" w:hAnsi="Segoe UI Symbol"/>
          <w:color w:val="2E5C8A"/>
          <w:sz w:val="24"/>
          <w:szCs w:val="24"/>
        </w:rPr>
        <w:t xml:space="preserve">☐  </w:t>
      </w:r>
      <w:r>
        <w:rPr>
          <w:rFonts w:ascii="Calibri" w:cs="Calibri" w:eastAsia="Calibri" w:hAnsi="Calibri"/>
          <w:color w:val="2D2D2D"/>
          <w:sz w:val="22"/>
          <w:szCs w:val="22"/>
        </w:rPr>
        <w:t xml:space="preserve">I know the advisory language boundary and can articulate what I will and won't say during and after the exercise</w:t>
      </w:r>
    </w:p>
    <w:p>
      <w:pPr>
        <w:spacing w:after="80"/>
        <w:ind w:left="360"/>
      </w:pPr>
      <w:r>
        <w:rPr>
          <w:rFonts w:ascii="Segoe UI Symbol" w:cs="Segoe UI Symbol" w:eastAsia="Segoe UI Symbol" w:hAnsi="Segoe UI Symbol"/>
          <w:color w:val="2E5C8A"/>
          <w:sz w:val="24"/>
          <w:szCs w:val="24"/>
        </w:rPr>
        <w:t xml:space="preserve">☐  </w:t>
      </w:r>
      <w:r>
        <w:rPr>
          <w:rFonts w:ascii="Calibri" w:cs="Calibri" w:eastAsia="Calibri" w:hAnsi="Calibri"/>
          <w:color w:val="2D2D2D"/>
          <w:sz w:val="22"/>
          <w:szCs w:val="22"/>
        </w:rPr>
        <w:t xml:space="preserve">I have a plan for peer review of my first client AAR (human reviewer, AI review, or both)</w:t>
      </w:r>
    </w:p>
    <w:p>
      <w:pPr>
        <w:spacing w:after="80"/>
        <w:ind w:left="360"/>
      </w:pPr>
      <w:r>
        <w:rPr>
          <w:rFonts w:ascii="Segoe UI Symbol" w:cs="Segoe UI Symbol" w:eastAsia="Segoe UI Symbol" w:hAnsi="Segoe UI Symbol"/>
          <w:color w:val="2E5C8A"/>
          <w:sz w:val="24"/>
          <w:szCs w:val="24"/>
        </w:rPr>
        <w:t xml:space="preserve">☐  </w:t>
      </w:r>
      <w:r>
        <w:rPr>
          <w:rFonts w:ascii="Calibri" w:cs="Calibri" w:eastAsia="Calibri" w:hAnsi="Calibri"/>
          <w:color w:val="2D2D2D"/>
          <w:sz w:val="22"/>
          <w:szCs w:val="22"/>
        </w:rPr>
        <w:t xml:space="preserve">I feel prepared to manage a room for 2–3 hours ,  or I have identified specific skills I need to develop first</w:t>
      </w:r>
    </w:p>
    <w:p>
      <w:pPr>
        <w:spacing w:after="80"/>
        <w:ind w:left="360"/>
      </w:pPr>
      <w:r>
        <w:rPr>
          <w:rFonts w:ascii="Segoe UI Symbol" w:cs="Segoe UI Symbol" w:eastAsia="Segoe UI Symbol" w:hAnsi="Segoe UI Symbol"/>
          <w:color w:val="2E5C8A"/>
          <w:sz w:val="24"/>
          <w:szCs w:val="24"/>
        </w:rPr>
        <w:t xml:space="preserve">☐  </w:t>
      </w:r>
      <w:r>
        <w:rPr>
          <w:rFonts w:ascii="Calibri" w:cs="Calibri" w:eastAsia="Calibri" w:hAnsi="Calibri"/>
          <w:color w:val="2D2D2D"/>
          <w:sz w:val="22"/>
          <w:szCs w:val="22"/>
        </w:rPr>
        <w:t xml:space="preserve">I understand the facilitator mindset (guide, not expert) and can identify my own tendencies to lecture or solve</w:t>
      </w:r>
    </w:p>
    <w:p>
      <w:pPr>
        <w:spacing w:after="12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E6C84C" w:sz="2"/>
              <w:left w:val="single" w:color="D4A843" w:sz="12"/>
              <w:bottom w:val="single" w:color="E6C84C" w:sz="2"/>
              <w:right w:val="single" w:color="E6C84C" w:sz="2"/>
            </w:tcBorders>
            <w:shd w:fill="FFF8E1" w:color="auto" w:val="clear"/>
            <w:tcMar>
              <w:top w:type="dxa" w:w="120"/>
              <w:left w:type="dxa" w:w="200"/>
              <w:bottom w:type="dxa" w:w="120"/>
              <w:right w:type="dxa" w:w="200"/>
            </w:tcMar>
          </w:tcPr>
          <w:p>
            <w:r>
              <w:rPr>
                <w:rFonts w:ascii="Calibri" w:cs="Calibri" w:eastAsia="Calibri" w:hAnsi="Calibri"/>
                <w:i/>
                <w:iCs/>
                <w:color w:val="2D2D2D"/>
                <w:sz w:val="20"/>
                <w:szCs w:val="20"/>
              </w:rPr>
              <w:t xml:space="preserve">Not every box needs to be checked before your first delivery. But you should be honest about which ones aren't checked and why. The ones you skip are the risks you're accepting.</w:t>
            </w:r>
          </w:p>
        </w:tc>
      </w:tr>
    </w:tbl>
    <w:p>
      <w:pPr>
        <w:spacing w:after="200"/>
      </w:pPr>
    </w:p>
    <w:p>
      <w:pPr>
        <w:pBdr>
          <w:bottom w:val="single" w:color="E0E0E0" w:sz="6" w:space="1"/>
        </w:pBdr>
        <w:spacing w:after="120"/>
      </w:pPr>
    </w:p>
    <w:p>
      <w:pPr>
        <w:spacing w:after="40"/>
        <w:jc w:val="center"/>
      </w:pPr>
      <w:r>
        <w:rPr>
          <w:rFonts w:ascii="Calibri" w:cs="Calibri" w:eastAsia="Calibri" w:hAnsi="Calibri"/>
          <w:color w:val="999999"/>
          <w:sz w:val="16"/>
          <w:szCs w:val="16"/>
        </w:rPr>
        <w:t xml:space="preserve">Business Resilience Pulse Check  |  PC-703  |  Facilitator Training Plan</w:t>
      </w:r>
    </w:p>
    <w:p>
      <w:pPr>
        <w:jc w:val="center"/>
      </w:pPr>
      <w:r>
        <w:rPr>
          <w:rFonts w:ascii="Calibri" w:cs="Calibri" w:eastAsia="Calibri" w:hAnsi="Calibri"/>
          <w:color w:val="999999"/>
          <w:sz w:val="16"/>
          <w:szCs w:val="16"/>
        </w:rPr>
        <w:t xml:space="preserve">Internal Operations  |  Version 1.1  |  July 2026</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2026-07-14T22:24:04.335Z</dcterms:created>
  <dcterms:modified xsi:type="dcterms:W3CDTF">2026-07-14T22:24:04.335Z</dcterms:modified>
</cp:coreProperties>
</file>

<file path=docProps/custom.xml><?xml version="1.0" encoding="utf-8"?>
<Properties xmlns="http://schemas.openxmlformats.org/officeDocument/2006/custom-properties" xmlns:vt="http://schemas.openxmlformats.org/officeDocument/2006/docPropsVTypes"/>
</file>